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4" w:rsidRDefault="0093011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</w:t>
      </w:r>
    </w:p>
    <w:p w:rsidR="00802C34" w:rsidRDefault="0093011E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802C34" w:rsidRDefault="00802C34">
      <w:pPr>
        <w:jc w:val="right"/>
        <w:outlineLvl w:val="0"/>
        <w:rPr>
          <w:b/>
          <w:sz w:val="20"/>
          <w:szCs w:val="20"/>
        </w:rPr>
      </w:pPr>
    </w:p>
    <w:p w:rsidR="00802C34" w:rsidRDefault="00802C34">
      <w:pPr>
        <w:jc w:val="center"/>
        <w:rPr>
          <w:b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802C34">
        <w:tc>
          <w:tcPr>
            <w:tcW w:w="9214" w:type="dxa"/>
            <w:tcBorders>
              <w:bottom w:val="single" w:sz="4" w:space="0" w:color="auto"/>
            </w:tcBorders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«ГЭСК»</w:t>
            </w:r>
          </w:p>
        </w:tc>
      </w:tr>
      <w:tr w:rsidR="00802C34">
        <w:tc>
          <w:tcPr>
            <w:tcW w:w="9214" w:type="dxa"/>
            <w:tcBorders>
              <w:top w:val="single" w:sz="4" w:space="0" w:color="auto"/>
            </w:tcBorders>
          </w:tcPr>
          <w:p w:rsidR="00802C34" w:rsidRDefault="0093011E">
            <w:pPr>
              <w:jc w:val="center"/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802C34">
        <w:tc>
          <w:tcPr>
            <w:tcW w:w="9214" w:type="dxa"/>
            <w:tcBorders>
              <w:bottom w:val="single" w:sz="4" w:space="0" w:color="auto"/>
            </w:tcBorders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160022, Российская Федерация, г. Вологда, ул. Пошехонское шоссе, д.18, офис 201</w:t>
            </w:r>
          </w:p>
        </w:tc>
      </w:tr>
      <w:tr w:rsidR="00802C34">
        <w:tc>
          <w:tcPr>
            <w:tcW w:w="9214" w:type="dxa"/>
            <w:tcBorders>
              <w:top w:val="single" w:sz="4" w:space="0" w:color="auto"/>
            </w:tcBorders>
          </w:tcPr>
          <w:p w:rsidR="00802C34" w:rsidRDefault="0093011E">
            <w:pPr>
              <w:jc w:val="center"/>
            </w:pPr>
            <w:r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2C34" w:rsidRDefault="00802C34"/>
    <w:p w:rsidR="00802C34" w:rsidRDefault="00802C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802C34">
        <w:trPr>
          <w:trHeight w:val="995"/>
        </w:trPr>
        <w:tc>
          <w:tcPr>
            <w:tcW w:w="9571" w:type="dxa"/>
            <w:shd w:val="clear" w:color="auto" w:fill="C0C0C0"/>
            <w:vAlign w:val="center"/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  к электрическим сетям </w:t>
            </w:r>
          </w:p>
        </w:tc>
      </w:tr>
    </w:tbl>
    <w:p w:rsidR="00802C34" w:rsidRDefault="00802C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02C34">
        <w:tc>
          <w:tcPr>
            <w:tcW w:w="1548" w:type="dxa"/>
            <w:vMerge w:val="restart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02C34" w:rsidRDefault="00802C34">
            <w:pPr>
              <w:jc w:val="center"/>
              <w:rPr>
                <w:sz w:val="20"/>
                <w:szCs w:val="20"/>
              </w:rPr>
            </w:pPr>
          </w:p>
        </w:tc>
      </w:tr>
      <w:tr w:rsidR="00802C34">
        <w:tc>
          <w:tcPr>
            <w:tcW w:w="1548" w:type="dxa"/>
            <w:vMerge/>
            <w:vAlign w:val="center"/>
          </w:tcPr>
          <w:p w:rsidR="00802C34" w:rsidRDefault="00802C3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02C34" w:rsidRDefault="00930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 сайта/</w:t>
            </w:r>
            <w:r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02C34" w:rsidRDefault="009301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02C34">
        <w:tc>
          <w:tcPr>
            <w:tcW w:w="5508" w:type="dxa"/>
            <w:gridSpan w:val="2"/>
            <w:shd w:val="clear" w:color="auto" w:fill="auto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02C34" w:rsidRPr="00760801" w:rsidRDefault="00D76B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561500">
              <w:rPr>
                <w:sz w:val="20"/>
                <w:szCs w:val="20"/>
              </w:rPr>
              <w:t>.01</w:t>
            </w:r>
            <w:r w:rsidR="00760801">
              <w:rPr>
                <w:sz w:val="20"/>
                <w:szCs w:val="20"/>
              </w:rPr>
              <w:t>.202</w:t>
            </w:r>
            <w:r w:rsidR="00760801">
              <w:rPr>
                <w:sz w:val="20"/>
                <w:szCs w:val="20"/>
                <w:lang w:val="en-US"/>
              </w:rPr>
              <w:t>3</w:t>
            </w:r>
          </w:p>
        </w:tc>
      </w:tr>
      <w:tr w:rsidR="00802C34">
        <w:tc>
          <w:tcPr>
            <w:tcW w:w="5508" w:type="dxa"/>
            <w:gridSpan w:val="2"/>
            <w:shd w:val="clear" w:color="auto" w:fill="auto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02C34" w:rsidRDefault="00760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3011E">
              <w:rPr>
                <w:sz w:val="20"/>
                <w:szCs w:val="20"/>
              </w:rPr>
              <w:t xml:space="preserve"> год</w:t>
            </w:r>
          </w:p>
        </w:tc>
      </w:tr>
    </w:tbl>
    <w:p w:rsidR="00802C34" w:rsidRDefault="00802C34">
      <w:pPr>
        <w:jc w:val="center"/>
        <w:rPr>
          <w:b/>
        </w:rPr>
      </w:pPr>
    </w:p>
    <w:p w:rsidR="00802C34" w:rsidRDefault="00802C34">
      <w:pPr>
        <w:jc w:val="center"/>
        <w:rPr>
          <w:b/>
        </w:rPr>
      </w:pPr>
    </w:p>
    <w:p w:rsidR="00802C34" w:rsidRPr="00052A75" w:rsidRDefault="00052A75" w:rsidP="00052A75">
      <w:pPr>
        <w:spacing w:after="120"/>
      </w:pPr>
      <w:r>
        <w:t xml:space="preserve">              </w:t>
      </w:r>
      <w:r w:rsidR="0093011E">
        <w:t>Типовые формы договоров об оказании услуг по передаче электрической энергии.</w:t>
      </w:r>
    </w:p>
    <w:p w:rsidR="00802C34" w:rsidRDefault="0093011E" w:rsidP="00052A75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Оказание услуг по передаче электрической энергии регулируется:</w:t>
      </w:r>
    </w:p>
    <w:p w:rsidR="00802C34" w:rsidRDefault="00D76B87" w:rsidP="00052A75">
      <w:pPr>
        <w:jc w:val="both"/>
        <w:rPr>
          <w:b/>
          <w:color w:val="000000"/>
          <w:sz w:val="22"/>
          <w:szCs w:val="22"/>
        </w:rPr>
      </w:pPr>
      <w:hyperlink r:id="rId7" w:tooltip="http://www.e-transit.ru/media/uploads/zakony/35_ob_electroener_25112013.rtf" w:history="1">
        <w:r w:rsidR="0093011E">
          <w:rPr>
            <w:rStyle w:val="afa"/>
            <w:b w:val="0"/>
            <w:sz w:val="22"/>
            <w:szCs w:val="22"/>
            <w:u w:val="none"/>
          </w:rPr>
          <w:t>Федеральным законом №35-ФЗ от 26.03.2003 «Об электроэнергетике»;</w:t>
        </w:r>
      </w:hyperlink>
    </w:p>
    <w:p w:rsidR="00802C34" w:rsidRDefault="00D76B87" w:rsidP="00052A75">
      <w:pPr>
        <w:jc w:val="both"/>
        <w:rPr>
          <w:bCs/>
          <w:color w:val="000000"/>
          <w:sz w:val="22"/>
          <w:szCs w:val="22"/>
        </w:rPr>
      </w:pPr>
      <w:hyperlink r:id="rId8" w:tooltip="http://www.e-transit.ru/media/uploads/zakony/442_rr_27082013.doc" w:history="1">
        <w:r w:rsidR="0093011E">
          <w:rPr>
            <w:color w:val="000000"/>
            <w:sz w:val="22"/>
            <w:szCs w:val="22"/>
          </w:rPr>
          <w:t>Постановление Правительства Российской Федерации №442 от 04.05.2012 «О функционировании розничных рынков электрической энергии, полном и (или) частичном ограничении режима потребления электрической энергии»</w:t>
        </w:r>
      </w:hyperlink>
      <w:r w:rsidR="0093011E">
        <w:rPr>
          <w:bCs/>
          <w:color w:val="000000"/>
          <w:sz w:val="22"/>
          <w:szCs w:val="22"/>
        </w:rPr>
        <w:t>;</w:t>
      </w:r>
    </w:p>
    <w:p w:rsidR="000D43A5" w:rsidRDefault="00D76B87" w:rsidP="000D43A5">
      <w:pPr>
        <w:autoSpaceDE w:val="0"/>
        <w:ind w:firstLine="540"/>
        <w:jc w:val="both"/>
      </w:pPr>
      <w:hyperlink r:id="rId9" w:tooltip="http://www.e-transit.ru/media/uploads/zakony/861_post_21112013.rtf" w:history="1">
        <w:r w:rsidR="0093011E">
          <w:rPr>
            <w:rStyle w:val="afa"/>
            <w:b w:val="0"/>
            <w:sz w:val="22"/>
            <w:szCs w:val="22"/>
            <w:u w:val="none"/>
          </w:rPr>
          <w:t>Постановлением Правительства Российской Федерации №861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</w:r>
      </w:hyperlink>
      <w:r w:rsidR="000D43A5" w:rsidRPr="000D43A5">
        <w:t xml:space="preserve"> </w:t>
      </w:r>
    </w:p>
    <w:p w:rsidR="000D43A5" w:rsidRDefault="000D43A5" w:rsidP="000D43A5">
      <w:pPr>
        <w:autoSpaceDE w:val="0"/>
        <w:ind w:firstLine="540"/>
        <w:jc w:val="both"/>
      </w:pPr>
      <w:r>
        <w:t xml:space="preserve">В связи с установленной законодательством системой договорных отношений в электроэнергетике договоры на услуги по передаче электрической энергии заключаются ПАО «Россети Северо-Запад» со всеми территориальными сетевыми организациями Вологодской области и производятся расчеты на основании заключенных договоров на оказание услуг по передаче электрической энергии по установленным для них тарифам. </w:t>
      </w:r>
    </w:p>
    <w:p w:rsidR="000D43A5" w:rsidRDefault="000D43A5" w:rsidP="000D43A5">
      <w:pPr>
        <w:autoSpaceDE w:val="0"/>
        <w:ind w:firstLine="540"/>
        <w:jc w:val="both"/>
      </w:pPr>
      <w:r>
        <w:t>В соответствии с п.42 Постановления Правительства № 861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услуг, расположенных на территории соответствующего субъекта Российской Федерации и принадлежащих к одной группе (категории) из числа тех, по которым законодательством Российской Федерации предусмотрена дифференциация тарифов на электрическую энергию (мощность).</w:t>
      </w:r>
    </w:p>
    <w:p w:rsidR="000D43A5" w:rsidRDefault="000D43A5" w:rsidP="000D43A5">
      <w:pPr>
        <w:autoSpaceDE w:val="0"/>
        <w:ind w:firstLine="540"/>
        <w:jc w:val="both"/>
      </w:pPr>
      <w:r>
        <w:t xml:space="preserve">Расчеты по заключаемому территориальными сетевыми организациями договору осуществляются по тарифу на услуги по передаче электрической энергии, который определяется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тарифов, в отношении каждой из сторон такого договора и носит индивидуальный характер. При этом </w:t>
      </w:r>
      <w:r>
        <w:lastRenderedPageBreak/>
        <w:t>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расходы, учитываемые при установлении тарифа на услуги по передаче электрической энергии для иных потребителей ее услуг, а доходы другой стороны указанного договора от предоставляемых ею по этому договору услуг и доходы от услуг по передаче электрической энергии, предоставляемых иным потребителям, должны в сумме обеспечивать необходимую валовую выручку данной организации.</w:t>
      </w:r>
    </w:p>
    <w:p w:rsidR="000D43A5" w:rsidRDefault="000D43A5" w:rsidP="000D43A5">
      <w:pPr>
        <w:ind w:firstLine="709"/>
        <w:jc w:val="both"/>
      </w:pPr>
      <w:r>
        <w:t>Таким образом, типовая форма договора на услуги по передаче электрической энергии разрабатывается держателем единого «котлового» тарифа (ПАО «Россети Северо-Запад») и опубликовывается им в порядке, предусмотренном Постановлением Правительства РФ № 24 «Об утверждении стандартов раскрытия информации субъектами оптового и розничных рынков электрической энергии».</w:t>
      </w:r>
    </w:p>
    <w:p w:rsidR="00802C34" w:rsidRDefault="00802C34">
      <w:pPr>
        <w:jc w:val="both"/>
      </w:pPr>
    </w:p>
    <w:p w:rsidR="00802C34" w:rsidRDefault="00052A75" w:rsidP="00052A75">
      <w:r>
        <w:t xml:space="preserve">               </w:t>
      </w:r>
      <w:r w:rsidR="0093011E">
        <w:t xml:space="preserve">Типовые договоры об осуществлении технологического присоединения </w:t>
      </w:r>
    </w:p>
    <w:p w:rsidR="00802C34" w:rsidRDefault="0093011E" w:rsidP="00052A75">
      <w:pPr>
        <w:spacing w:after="120"/>
        <w:jc w:val="center"/>
      </w:pPr>
      <w:r>
        <w:t>к электрическим сетям.</w:t>
      </w:r>
    </w:p>
    <w:p w:rsidR="00802C34" w:rsidRDefault="0093011E" w:rsidP="00052A75">
      <w:pPr>
        <w:spacing w:after="120"/>
        <w:jc w:val="both"/>
      </w:pPr>
      <w:r>
        <w:t>Типовые формы договоров об осуществлении технологического присоединения приведены в приложениях № 8-12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27.12.2004г. № 861.</w:t>
      </w:r>
    </w:p>
    <w:p w:rsidR="0040356C" w:rsidRPr="000D43A5" w:rsidRDefault="0040356C">
      <w:pPr>
        <w:jc w:val="both"/>
      </w:pPr>
    </w:p>
    <w:p w:rsidR="00802C34" w:rsidRPr="000D43A5" w:rsidRDefault="0093011E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>1.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приложению № 8 и направляется заявителю - физическому лицу;</w:t>
      </w:r>
    </w:p>
    <w:p w:rsidR="00041C46" w:rsidRPr="000D43A5" w:rsidRDefault="0040356C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  <w:shd w:val="clear" w:color="auto" w:fill="FFFFFF"/>
        </w:rPr>
        <w:t xml:space="preserve">2. </w:t>
      </w:r>
      <w:r w:rsidRPr="000D43A5">
        <w:rPr>
          <w:color w:val="000000" w:themeColor="text1"/>
        </w:rPr>
        <w:t xml:space="preserve">В целях технологического присоединения </w:t>
      </w:r>
      <w:r w:rsidRPr="000D43A5">
        <w:rPr>
          <w:color w:val="000000" w:themeColor="text1"/>
          <w:shd w:val="clear" w:color="auto" w:fill="FFFFFF"/>
        </w:rPr>
        <w:t>объекта микрогенерации к объектам электросетевого хозяйства с уровнем напряжения до 1000 В</w:t>
      </w:r>
      <w:r w:rsidRPr="000D43A5">
        <w:rPr>
          <w:color w:val="000000" w:themeColor="text1"/>
        </w:rPr>
        <w:t xml:space="preserve"> - договор оформляется сетевой организацией в соответствии с типовым договором по форме согласно приложению № 8</w:t>
      </w:r>
      <w:r w:rsidR="00F20C51" w:rsidRPr="000D43A5">
        <w:rPr>
          <w:color w:val="000000" w:themeColor="text1"/>
        </w:rPr>
        <w:t>¹</w:t>
      </w:r>
      <w:r w:rsidRPr="000D43A5">
        <w:rPr>
          <w:color w:val="000000" w:themeColor="text1"/>
        </w:rPr>
        <w:t xml:space="preserve"> и направляется заявителю - физическому лицу;</w:t>
      </w:r>
    </w:p>
    <w:p w:rsidR="00802C34" w:rsidRPr="000D43A5" w:rsidRDefault="00F669BC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>3.</w:t>
      </w:r>
      <w:r w:rsidR="0093011E" w:rsidRPr="000D43A5">
        <w:rPr>
          <w:color w:val="000000" w:themeColor="text1"/>
        </w:rPr>
        <w:t xml:space="preserve"> В целях технологического присоединения энергопринимающих устройств, максимальная мощность которых составляет до 15</w:t>
      </w:r>
      <w:r w:rsidRPr="000D43A5">
        <w:rPr>
          <w:color w:val="000000" w:themeColor="text1"/>
        </w:rPr>
        <w:t>0</w:t>
      </w:r>
      <w:r w:rsidR="0093011E" w:rsidRPr="000D43A5">
        <w:rPr>
          <w:color w:val="000000" w:themeColor="text1"/>
        </w:rPr>
        <w:t xml:space="preserve">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приложению № 9 и направляется заявителю - юридическому лицу или индивидуальному предпринимателю;</w:t>
      </w:r>
    </w:p>
    <w:p w:rsidR="00041C46" w:rsidRPr="000D43A5" w:rsidRDefault="00041C46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 xml:space="preserve">4. В целях технологического присоединения </w:t>
      </w:r>
      <w:r w:rsidRPr="000D43A5">
        <w:rPr>
          <w:color w:val="000000" w:themeColor="text1"/>
          <w:shd w:val="clear" w:color="auto" w:fill="FFFFFF"/>
        </w:rPr>
        <w:t>объекта микрогенерации к объектам электросетевого хозяйства с уровнем напряжения до 1000 В</w:t>
      </w:r>
      <w:r w:rsidRPr="000D43A5">
        <w:rPr>
          <w:color w:val="000000" w:themeColor="text1"/>
        </w:rPr>
        <w:t xml:space="preserve"> - договор оформляется сетевой организацией в соответствии с типовым договором по форме согласно приложению № 9¹ и направляется заявителю</w:t>
      </w:r>
      <w:r w:rsidR="00052A75" w:rsidRPr="000D43A5">
        <w:rPr>
          <w:color w:val="000000" w:themeColor="text1"/>
        </w:rPr>
        <w:t xml:space="preserve"> - юридическому лицу или индивидуальному предпринимателю</w:t>
      </w:r>
      <w:r w:rsidRPr="000D43A5">
        <w:rPr>
          <w:color w:val="000000" w:themeColor="text1"/>
        </w:rPr>
        <w:t>;</w:t>
      </w:r>
    </w:p>
    <w:p w:rsidR="00802C34" w:rsidRPr="000D43A5" w:rsidRDefault="00F669BC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>5</w:t>
      </w:r>
      <w:r w:rsidR="0093011E" w:rsidRPr="000D43A5">
        <w:rPr>
          <w:color w:val="000000" w:themeColor="text1"/>
        </w:rPr>
        <w:t xml:space="preserve">. В целях технологического присоединения энергопринимающих устройств, максимальная мощность которых составляет свыше 150 кВт и менее 670 кВт (за исключением случаев, </w:t>
      </w:r>
      <w:r w:rsidR="0093011E" w:rsidRPr="000D43A5">
        <w:rPr>
          <w:color w:val="000000" w:themeColor="text1"/>
        </w:rPr>
        <w:lastRenderedPageBreak/>
        <w:t>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приложению № 11 и направляется заявителю - юридическому лицу или индивидуальному предпринимателю;</w:t>
      </w:r>
    </w:p>
    <w:p w:rsidR="00052A75" w:rsidRPr="000D43A5" w:rsidRDefault="00F669BC" w:rsidP="000D43A5">
      <w:pPr>
        <w:spacing w:after="225"/>
        <w:jc w:val="both"/>
        <w:rPr>
          <w:color w:val="000000" w:themeColor="text1"/>
          <w:shd w:val="clear" w:color="auto" w:fill="FFFFFF"/>
        </w:rPr>
      </w:pPr>
      <w:r w:rsidRPr="000D43A5">
        <w:rPr>
          <w:color w:val="000000" w:themeColor="text1"/>
        </w:rPr>
        <w:t>6</w:t>
      </w:r>
      <w:r w:rsidR="0093011E" w:rsidRPr="000D43A5">
        <w:rPr>
          <w:color w:val="000000" w:themeColor="text1"/>
        </w:rPr>
        <w:t xml:space="preserve">. </w:t>
      </w:r>
      <w:r w:rsidR="0040356C" w:rsidRPr="000D43A5">
        <w:rPr>
          <w:color w:val="000000" w:themeColor="text1"/>
          <w:shd w:val="clear" w:color="auto" w:fill="FFFFFF"/>
        </w:rPr>
        <w:t>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 </w:t>
      </w:r>
      <w:hyperlink r:id="rId10" w:anchor="block_4121" w:history="1">
        <w:r w:rsidR="0040356C" w:rsidRPr="000D43A5">
          <w:rPr>
            <w:color w:val="000000" w:themeColor="text1"/>
            <w:shd w:val="clear" w:color="auto" w:fill="FFFFFF"/>
          </w:rPr>
          <w:t>пункте 12.1</w:t>
        </w:r>
      </w:hyperlink>
      <w:r w:rsidR="0040356C" w:rsidRPr="000D43A5">
        <w:rPr>
          <w:color w:val="000000" w:themeColor="text1"/>
          <w:shd w:val="clear" w:color="auto" w:fill="FFFFFF"/>
        </w:rPr>
        <w:t> настоящих Правил, лиц, указанных в </w:t>
      </w:r>
      <w:hyperlink r:id="rId11" w:anchor="block_4013" w:history="1">
        <w:r w:rsidR="0040356C" w:rsidRPr="000D43A5">
          <w:rPr>
            <w:color w:val="000000" w:themeColor="text1"/>
            <w:shd w:val="clear" w:color="auto" w:fill="FFFFFF"/>
          </w:rPr>
          <w:t>пунктах 13</w:t>
        </w:r>
      </w:hyperlink>
      <w:r w:rsidR="0040356C" w:rsidRPr="000D43A5">
        <w:rPr>
          <w:color w:val="000000" w:themeColor="text1"/>
          <w:shd w:val="clear" w:color="auto" w:fill="FFFFFF"/>
        </w:rPr>
        <w:t>, </w:t>
      </w:r>
      <w:hyperlink r:id="rId12" w:anchor="block_4132" w:history="1">
        <w:r w:rsidR="00041C46" w:rsidRPr="000D43A5">
          <w:rPr>
            <w:color w:val="000000" w:themeColor="text1"/>
            <w:shd w:val="clear" w:color="auto" w:fill="FFFFFF"/>
          </w:rPr>
          <w:t>13</w:t>
        </w:r>
      </w:hyperlink>
      <w:r w:rsidR="00041C46" w:rsidRPr="000D43A5">
        <w:rPr>
          <w:color w:val="000000" w:themeColor="text1"/>
        </w:rPr>
        <w:t>²</w:t>
      </w:r>
      <w:r w:rsidRPr="000D43A5">
        <w:rPr>
          <w:color w:val="000000" w:themeColor="text1"/>
          <w:shd w:val="clear" w:color="auto" w:fill="FFFFFF"/>
        </w:rPr>
        <w:t>,</w:t>
      </w:r>
      <w:r w:rsidRPr="000D43A5">
        <w:rPr>
          <w:color w:val="000000" w:themeColor="text1"/>
        </w:rPr>
        <w:t>13</w:t>
      </w:r>
      <w:r w:rsidR="00041C46" w:rsidRPr="000D43A5">
        <w:rPr>
          <w:color w:val="000000" w:themeColor="text1"/>
        </w:rPr>
        <w:t>³</w:t>
      </w:r>
      <w:r w:rsidRPr="000D43A5">
        <w:rPr>
          <w:color w:val="000000" w:themeColor="text1"/>
          <w:shd w:val="clear" w:color="auto" w:fill="FFFFFF"/>
        </w:rPr>
        <w:t>,</w:t>
      </w:r>
      <w:r w:rsidR="00041C46" w:rsidRPr="000D43A5">
        <w:rPr>
          <w:color w:val="000000" w:themeColor="text1"/>
          <w:shd w:val="clear" w:color="auto" w:fill="FFFFFF"/>
        </w:rPr>
        <w:t>13</w:t>
      </w:r>
      <w:r w:rsidR="00C46AF2" w:rsidRPr="000D43A5">
        <w:rPr>
          <w:color w:val="000000" w:themeColor="text1"/>
          <w:shd w:val="clear" w:color="auto" w:fill="FFFFFF"/>
        </w:rPr>
        <w:t>⁴</w:t>
      </w:r>
      <w:r w:rsidR="00041C46" w:rsidRPr="000D43A5">
        <w:rPr>
          <w:color w:val="000000" w:themeColor="text1"/>
          <w:shd w:val="clear" w:color="auto" w:fill="FFFFFF"/>
        </w:rPr>
        <w:t>,</w:t>
      </w:r>
      <w:r w:rsidR="0040356C" w:rsidRPr="000D43A5">
        <w:rPr>
          <w:color w:val="000000" w:themeColor="text1"/>
          <w:shd w:val="clear" w:color="auto" w:fill="FFFFFF"/>
        </w:rPr>
        <w:t>13</w:t>
      </w:r>
      <w:r w:rsidR="0040356C" w:rsidRPr="000D43A5">
        <w:rPr>
          <w:color w:val="000000" w:themeColor="text1"/>
          <w:shd w:val="clear" w:color="auto" w:fill="FFFFFF"/>
          <w:vertAlign w:val="superscript"/>
        </w:rPr>
        <w:t> 5</w:t>
      </w:r>
      <w:r w:rsidR="0040356C" w:rsidRPr="000D43A5">
        <w:rPr>
          <w:color w:val="000000" w:themeColor="text1"/>
          <w:shd w:val="clear" w:color="auto" w:fill="FFFFFF"/>
        </w:rPr>
        <w:t> и </w:t>
      </w:r>
      <w:hyperlink r:id="rId13" w:anchor="block_4014" w:history="1">
        <w:r w:rsidR="0040356C" w:rsidRPr="000D43A5">
          <w:rPr>
            <w:color w:val="000000" w:themeColor="text1"/>
            <w:shd w:val="clear" w:color="auto" w:fill="FFFFFF"/>
          </w:rPr>
          <w:t>14</w:t>
        </w:r>
      </w:hyperlink>
      <w:r w:rsidR="0040356C" w:rsidRPr="000D43A5">
        <w:rPr>
          <w:color w:val="000000" w:themeColor="text1"/>
          <w:shd w:val="clear" w:color="auto" w:fill="FFFFFF"/>
        </w:rPr>
        <w:t> настоящих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фактическое технологическое присоединение, договор оформляется сетевой организацией в соответствии с типовым договором по форме согласно </w:t>
      </w:r>
      <w:hyperlink r:id="rId14" w:anchor="block_45000" w:history="1">
        <w:r w:rsidR="0040356C" w:rsidRPr="000D43A5">
          <w:rPr>
            <w:color w:val="000000" w:themeColor="text1"/>
            <w:shd w:val="clear" w:color="auto" w:fill="FFFFFF"/>
          </w:rPr>
          <w:t>приложению N 12</w:t>
        </w:r>
      </w:hyperlink>
      <w:r w:rsidR="0040356C" w:rsidRPr="000D43A5">
        <w:rPr>
          <w:color w:val="000000" w:themeColor="text1"/>
          <w:shd w:val="clear" w:color="auto" w:fill="FFFFFF"/>
        </w:rPr>
        <w:t> и направляется заявителю.</w:t>
      </w:r>
    </w:p>
    <w:p w:rsidR="000D43A5" w:rsidRPr="000D43A5" w:rsidRDefault="000D43A5" w:rsidP="000D43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43A5">
        <w:rPr>
          <w:rFonts w:ascii="Times New Roman" w:hAnsi="Times New Roman" w:cs="Times New Roman"/>
          <w:sz w:val="24"/>
          <w:szCs w:val="24"/>
        </w:rPr>
        <w:t xml:space="preserve">Источник официального опубликования нормативного правового акта, регулирующего условия договоров на услуги по передаче электрической энергии, договоров на технологическое присоединение:  </w:t>
      </w:r>
    </w:p>
    <w:p w:rsidR="000D43A5" w:rsidRPr="000D43A5" w:rsidRDefault="000D43A5" w:rsidP="000D43A5">
      <w:pPr>
        <w:autoSpaceDE w:val="0"/>
        <w:jc w:val="both"/>
      </w:pPr>
      <w:r>
        <w:t xml:space="preserve">    </w:t>
      </w:r>
      <w:r w:rsidRPr="000D43A5">
        <w:t>- ФЗ РФ № 35 «Об электроэнергетике» (первоначальный текст опубликован - "Собрание законодательства РФ", 31.03.2003, N 13, ст. 1177, "Парламентская газета", N 59, 01.04.2003, "Российская газета", N 60, 01.04.2003).</w:t>
      </w:r>
    </w:p>
    <w:p w:rsidR="000D43A5" w:rsidRPr="000D43A5" w:rsidRDefault="000D43A5" w:rsidP="000D43A5">
      <w:pPr>
        <w:autoSpaceDE w:val="0"/>
        <w:jc w:val="both"/>
      </w:pPr>
      <w:r>
        <w:t xml:space="preserve">    </w:t>
      </w:r>
      <w:r w:rsidRPr="000D43A5">
        <w:t>- 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(первоначальный текст опубликован - "Собрание законодательства РФ", 04.06.2012, N 23, ст. 3008).</w:t>
      </w:r>
    </w:p>
    <w:p w:rsidR="000D43A5" w:rsidRPr="000D43A5" w:rsidRDefault="000D43A5" w:rsidP="000D43A5">
      <w:pPr>
        <w:autoSpaceDE w:val="0"/>
        <w:jc w:val="both"/>
      </w:pPr>
      <w:r>
        <w:t xml:space="preserve">    </w:t>
      </w:r>
      <w:r w:rsidRPr="000D43A5">
        <w:t>- Постановление Правительства РФ № 861 «Правила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(первоначальный текст опубликован - "Собрание законодательства РФ", 27.12.2004, N 52 (часть 2), ст. 5525, "Российская газета", N 7, 19.01.2005).</w:t>
      </w:r>
    </w:p>
    <w:p w:rsidR="00802C34" w:rsidRDefault="00802C34">
      <w:pPr>
        <w:jc w:val="center"/>
      </w:pPr>
    </w:p>
    <w:p w:rsidR="00802C34" w:rsidRDefault="00802C34">
      <w:pPr>
        <w:jc w:val="center"/>
      </w:pPr>
    </w:p>
    <w:p w:rsidR="00802C34" w:rsidRDefault="00802C34" w:rsidP="000D43A5">
      <w:pPr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3724"/>
      </w:tblGrid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Пост. Пр-ва от 21.01.2004 № 24, п. 19 з</w:t>
            </w:r>
          </w:p>
        </w:tc>
      </w:tr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«фактическая»</w:t>
            </w:r>
          </w:p>
        </w:tc>
      </w:tr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02C34" w:rsidRDefault="00802C34">
      <w:pPr>
        <w:jc w:val="center"/>
        <w:rPr>
          <w:b/>
          <w:u w:val="single"/>
        </w:rPr>
      </w:pPr>
    </w:p>
    <w:sectPr w:rsidR="00802C34">
      <w:headerReference w:type="default" r:id="rId15"/>
      <w:footerReference w:type="default" r:id="rId16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34" w:rsidRDefault="0093011E">
      <w:r>
        <w:separator/>
      </w:r>
    </w:p>
  </w:endnote>
  <w:endnote w:type="continuationSeparator" w:id="0">
    <w:p w:rsidR="00802C34" w:rsidRDefault="009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34" w:rsidRDefault="0093011E">
    <w:pPr>
      <w:pStyle w:val="af"/>
      <w:rPr>
        <w:sz w:val="16"/>
        <w:szCs w:val="16"/>
      </w:rPr>
    </w:pPr>
    <w:r>
      <w:rPr>
        <w:sz w:val="16"/>
        <w:szCs w:val="16"/>
      </w:rPr>
      <w:t xml:space="preserve">Форма 1.7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Страница </w:t>
    </w:r>
    <w:r>
      <w:rPr>
        <w:rStyle w:val="af9"/>
        <w:sz w:val="16"/>
        <w:szCs w:val="16"/>
      </w:rPr>
      <w:fldChar w:fldCharType="begin"/>
    </w:r>
    <w:r>
      <w:rPr>
        <w:rStyle w:val="af9"/>
        <w:sz w:val="16"/>
        <w:szCs w:val="16"/>
      </w:rPr>
      <w:instrText xml:space="preserve"> PAGE </w:instrText>
    </w:r>
    <w:r>
      <w:rPr>
        <w:rStyle w:val="af9"/>
        <w:sz w:val="16"/>
        <w:szCs w:val="16"/>
      </w:rPr>
      <w:fldChar w:fldCharType="separate"/>
    </w:r>
    <w:r w:rsidR="00D76B87">
      <w:rPr>
        <w:rStyle w:val="af9"/>
        <w:noProof/>
        <w:sz w:val="16"/>
        <w:szCs w:val="16"/>
      </w:rPr>
      <w:t>1</w:t>
    </w:r>
    <w:r>
      <w:rPr>
        <w:rStyle w:val="af9"/>
        <w:sz w:val="16"/>
        <w:szCs w:val="16"/>
      </w:rPr>
      <w:fldChar w:fldCharType="end"/>
    </w:r>
    <w:r>
      <w:rPr>
        <w:rStyle w:val="af9"/>
        <w:sz w:val="16"/>
        <w:szCs w:val="16"/>
      </w:rPr>
      <w:t xml:space="preserve"> из </w:t>
    </w:r>
    <w:r>
      <w:rPr>
        <w:rStyle w:val="af9"/>
        <w:sz w:val="16"/>
        <w:szCs w:val="16"/>
      </w:rPr>
      <w:fldChar w:fldCharType="begin"/>
    </w:r>
    <w:r>
      <w:rPr>
        <w:rStyle w:val="af9"/>
        <w:sz w:val="16"/>
        <w:szCs w:val="16"/>
      </w:rPr>
      <w:instrText xml:space="preserve"> NUMPAGES </w:instrText>
    </w:r>
    <w:r>
      <w:rPr>
        <w:rStyle w:val="af9"/>
        <w:sz w:val="16"/>
        <w:szCs w:val="16"/>
      </w:rPr>
      <w:fldChar w:fldCharType="separate"/>
    </w:r>
    <w:r w:rsidR="00D76B87">
      <w:rPr>
        <w:rStyle w:val="af9"/>
        <w:noProof/>
        <w:sz w:val="16"/>
        <w:szCs w:val="16"/>
      </w:rPr>
      <w:t>3</w:t>
    </w:r>
    <w:r>
      <w:rPr>
        <w:rStyle w:val="af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34" w:rsidRDefault="0093011E">
      <w:r>
        <w:separator/>
      </w:r>
    </w:p>
  </w:footnote>
  <w:footnote w:type="continuationSeparator" w:id="0">
    <w:p w:rsidR="00802C34" w:rsidRDefault="0093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34" w:rsidRDefault="0093011E">
    <w:pPr>
      <w:jc w:val="center"/>
      <w:outlineLvl w:val="0"/>
      <w:rPr>
        <w:sz w:val="20"/>
        <w:szCs w:val="20"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от 21.01.2004 № 24</w:t>
    </w:r>
  </w:p>
  <w:p w:rsidR="00802C34" w:rsidRDefault="00802C3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4"/>
    <w:rsid w:val="00041C46"/>
    <w:rsid w:val="00052A75"/>
    <w:rsid w:val="000D43A5"/>
    <w:rsid w:val="0040356C"/>
    <w:rsid w:val="00561500"/>
    <w:rsid w:val="006217F6"/>
    <w:rsid w:val="00760801"/>
    <w:rsid w:val="00802C34"/>
    <w:rsid w:val="0093011E"/>
    <w:rsid w:val="00C46AF2"/>
    <w:rsid w:val="00CE7342"/>
    <w:rsid w:val="00D76B87"/>
    <w:rsid w:val="00F20C51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4C0A"/>
  <w15:docId w15:val="{49C354E9-CD7B-4496-96E8-90C354E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Hyperlink"/>
    <w:basedOn w:val="a0"/>
    <w:uiPriority w:val="99"/>
    <w:unhideWhenUsed/>
    <w:rPr>
      <w:b/>
      <w:bCs/>
      <w:color w:val="000000"/>
      <w:u w:val="single"/>
    </w:rPr>
  </w:style>
  <w:style w:type="paragraph" w:customStyle="1" w:styleId="ConsPlusNormal">
    <w:name w:val="ConsPlusNormal"/>
    <w:rsid w:val="000D43A5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nsit.ru/media/uploads/zakony/442_rr_27082013.doc" TargetMode="External"/><Relationship Id="rId13" Type="http://schemas.openxmlformats.org/officeDocument/2006/relationships/hyperlink" Target="https://base.garant.ru/187740/bf3c4cb11d29b484bbb06d910d94e5f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transit.ru/media/uploads/zakony/35_ob_electroener_25112013.rtf" TargetMode="External"/><Relationship Id="rId12" Type="http://schemas.openxmlformats.org/officeDocument/2006/relationships/hyperlink" Target="https://base.garant.ru/187740/bf3c4cb11d29b484bbb06d910d94e5f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87740/bf3c4cb11d29b484bbb06d910d94e5f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87740/bf3c4cb11d29b484bbb06d910d94e5f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transit.ru/media/uploads/zakony/861_post_21112013.rtf" TargetMode="External"/><Relationship Id="rId14" Type="http://schemas.openxmlformats.org/officeDocument/2006/relationships/hyperlink" Target="https://base.garant.ru/187740/bf3c4cb11d29b484bbb06d910d94e5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Федоровна</dc:creator>
  <cp:lastModifiedBy>Соловьёв Андрей Викторович</cp:lastModifiedBy>
  <cp:revision>3</cp:revision>
  <dcterms:created xsi:type="dcterms:W3CDTF">2023-01-10T10:32:00Z</dcterms:created>
  <dcterms:modified xsi:type="dcterms:W3CDTF">2023-01-13T10:15:00Z</dcterms:modified>
</cp:coreProperties>
</file>