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C" w:rsidRPr="00FB013A" w:rsidRDefault="00855D44" w:rsidP="00855D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013A">
        <w:rPr>
          <w:rFonts w:ascii="Times New Roman" w:hAnsi="Times New Roman"/>
          <w:b/>
          <w:sz w:val="24"/>
          <w:szCs w:val="24"/>
        </w:rPr>
        <w:t>ПАСПОРТ УСЛУГИ (ПРОЦЕССА)</w:t>
      </w:r>
      <w:r w:rsidR="00E85B9C" w:rsidRPr="00FB013A">
        <w:rPr>
          <w:rFonts w:ascii="Times New Roman" w:hAnsi="Times New Roman"/>
          <w:b/>
          <w:sz w:val="24"/>
          <w:szCs w:val="24"/>
        </w:rPr>
        <w:t xml:space="preserve">  СЕТЕВОЙ ОРГАНИЗАЦ</w:t>
      </w:r>
      <w:proofErr w:type="gramStart"/>
      <w:r w:rsidR="00E85B9C" w:rsidRPr="00FB013A">
        <w:rPr>
          <w:rFonts w:ascii="Times New Roman" w:hAnsi="Times New Roman"/>
          <w:b/>
          <w:sz w:val="24"/>
          <w:szCs w:val="24"/>
        </w:rPr>
        <w:t xml:space="preserve">ИИ </w:t>
      </w:r>
      <w:r w:rsidR="00E57E5C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E57E5C">
        <w:rPr>
          <w:rFonts w:ascii="Times New Roman" w:hAnsi="Times New Roman"/>
          <w:b/>
          <w:sz w:val="24"/>
          <w:szCs w:val="24"/>
        </w:rPr>
        <w:t xml:space="preserve"> «ГОРОДСКАЯ ЭЛЕКТРОСЕТЕВАЯ КОМПАНИЯ»</w:t>
      </w:r>
    </w:p>
    <w:p w:rsidR="00FB013A" w:rsidRDefault="00FB013A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B013A" w:rsidRPr="00206E0F" w:rsidRDefault="00FB013A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06E0F">
        <w:rPr>
          <w:rFonts w:ascii="Times New Roman" w:hAnsi="Times New Roman"/>
          <w:b/>
          <w:color w:val="0070C0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B013A" w:rsidRPr="00206E0F" w:rsidRDefault="00FB013A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206E0F">
        <w:rPr>
          <w:rFonts w:ascii="Times New Roman" w:hAnsi="Times New Roman"/>
          <w:b/>
          <w:color w:val="0070C0"/>
          <w:sz w:val="24"/>
          <w:szCs w:val="24"/>
        </w:rPr>
        <w:t>энергопринимающих</w:t>
      </w:r>
      <w:proofErr w:type="spellEnd"/>
      <w:r w:rsidRPr="00206E0F">
        <w:rPr>
          <w:rFonts w:ascii="Times New Roman" w:hAnsi="Times New Roman"/>
          <w:b/>
          <w:color w:val="0070C0"/>
          <w:sz w:val="24"/>
          <w:szCs w:val="24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E85B9C" w:rsidRDefault="00E85B9C" w:rsidP="00E85B9C">
      <w:pPr>
        <w:contextualSpacing/>
        <w:jc w:val="center"/>
        <w:rPr>
          <w:b/>
          <w:color w:val="548DD4"/>
          <w:sz w:val="32"/>
          <w:szCs w:val="32"/>
        </w:rPr>
      </w:pPr>
    </w:p>
    <w:p w:rsidR="002F56EA" w:rsidRPr="003C47DB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7D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/>
          <w:b/>
          <w:sz w:val="24"/>
          <w:szCs w:val="24"/>
        </w:rPr>
        <w:t xml:space="preserve">: </w:t>
      </w:r>
    </w:p>
    <w:p w:rsidR="00F400EC" w:rsidRPr="00DE2844" w:rsidRDefault="00F400EC" w:rsidP="00D2789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844">
        <w:rPr>
          <w:rFonts w:ascii="Times New Roman" w:hAnsi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DE2844">
        <w:rPr>
          <w:rFonts w:ascii="Times New Roman" w:hAnsi="Times New Roman"/>
          <w:sz w:val="24"/>
          <w:szCs w:val="24"/>
        </w:rPr>
        <w:t>Вт вкл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устройств)</w:t>
      </w:r>
      <w:r w:rsidR="00D27893">
        <w:rPr>
          <w:rFonts w:ascii="Times New Roman" w:hAnsi="Times New Roman"/>
          <w:sz w:val="24"/>
          <w:szCs w:val="24"/>
        </w:rPr>
        <w:t>.</w:t>
      </w:r>
      <w:r w:rsidRPr="00DE2844">
        <w:rPr>
          <w:rFonts w:ascii="Times New Roman" w:hAnsi="Times New Roman"/>
          <w:sz w:val="24"/>
          <w:szCs w:val="24"/>
        </w:rPr>
        <w:t xml:space="preserve"> </w:t>
      </w:r>
    </w:p>
    <w:p w:rsidR="002F56EA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27893" w:rsidRDefault="00D27893" w:rsidP="00D2789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DE2844">
        <w:rPr>
          <w:rFonts w:ascii="Times New Roman" w:hAnsi="Times New Roman"/>
          <w:sz w:val="24"/>
          <w:szCs w:val="24"/>
        </w:rPr>
        <w:t xml:space="preserve">ри технологическом присоединение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E2844">
        <w:rPr>
          <w:rFonts w:ascii="Times New Roman" w:hAnsi="Times New Roman"/>
          <w:sz w:val="24"/>
          <w:szCs w:val="24"/>
        </w:rPr>
        <w:t>которую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rFonts w:ascii="Times New Roman" w:hAnsi="Times New Roman"/>
          <w:sz w:val="24"/>
          <w:szCs w:val="24"/>
        </w:rPr>
        <w:t>;</w:t>
      </w:r>
    </w:p>
    <w:p w:rsidR="002F56EA" w:rsidRPr="00AB3CE4" w:rsidRDefault="00AB3CE4" w:rsidP="0099076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3CE4">
        <w:rPr>
          <w:rFonts w:ascii="Times New Roman" w:hAnsi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AB3CE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B3CE4">
        <w:rPr>
          <w:rFonts w:ascii="Times New Roman" w:hAnsi="Times New Roman"/>
          <w:sz w:val="24"/>
          <w:szCs w:val="24"/>
        </w:rPr>
        <w:t xml:space="preserve"> устройств с максимальной мощностью более 15 кВт и до 150 к</w:t>
      </w:r>
      <w:proofErr w:type="gramStart"/>
      <w:r w:rsidRPr="00AB3CE4">
        <w:rPr>
          <w:rFonts w:ascii="Times New Roman" w:hAnsi="Times New Roman"/>
          <w:sz w:val="24"/>
          <w:szCs w:val="24"/>
        </w:rPr>
        <w:t>Вт вкл</w:t>
      </w:r>
      <w:proofErr w:type="gramEnd"/>
      <w:r w:rsidRPr="00AB3CE4">
        <w:rPr>
          <w:rFonts w:ascii="Times New Roman" w:hAnsi="Times New Roman"/>
          <w:sz w:val="24"/>
          <w:szCs w:val="24"/>
        </w:rPr>
        <w:t xml:space="preserve">ючительно размер платы рассчитывается исходя из величины максимальной мощности присоединяемых </w:t>
      </w:r>
      <w:proofErr w:type="spellStart"/>
      <w:r w:rsidRPr="00AB3CE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B3CE4">
        <w:rPr>
          <w:rFonts w:ascii="Times New Roman" w:hAnsi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  <w:r w:rsidR="002F56EA" w:rsidRPr="00AB3CE4">
        <w:rPr>
          <w:rFonts w:ascii="Times New Roman" w:hAnsi="Times New Roman"/>
          <w:sz w:val="24"/>
          <w:szCs w:val="24"/>
        </w:rPr>
        <w:t xml:space="preserve">  </w:t>
      </w:r>
    </w:p>
    <w:p w:rsidR="002F56EA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</w:p>
    <w:p w:rsidR="002F56EA" w:rsidRPr="00E57E5C" w:rsidRDefault="00FB013A" w:rsidP="00FB01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844">
        <w:rPr>
          <w:rFonts w:ascii="Times New Roman" w:hAnsi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устройств.</w:t>
      </w:r>
      <w:proofErr w:type="gramEnd"/>
    </w:p>
    <w:p w:rsidR="002F56EA" w:rsidRPr="00E57E5C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E5C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</w:p>
    <w:p w:rsidR="002F56EA" w:rsidRPr="00E57E5C" w:rsidRDefault="002F56EA" w:rsidP="00990762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E57E5C">
        <w:rPr>
          <w:rFonts w:ascii="Times New Roman" w:hAnsi="Times New Roman"/>
          <w:sz w:val="24"/>
          <w:szCs w:val="24"/>
        </w:rPr>
        <w:t xml:space="preserve">осуществление технологического присоединения энергопринимающих устройств заявителя к электрическим сетям </w:t>
      </w:r>
      <w:r w:rsidR="00E57E5C" w:rsidRPr="00E57E5C">
        <w:rPr>
          <w:rFonts w:ascii="Times New Roman" w:hAnsi="Times New Roman"/>
          <w:sz w:val="24"/>
          <w:szCs w:val="24"/>
        </w:rPr>
        <w:t xml:space="preserve">ООО «Городская </w:t>
      </w:r>
      <w:proofErr w:type="spellStart"/>
      <w:r w:rsidR="00E57E5C" w:rsidRPr="00E57E5C">
        <w:rPr>
          <w:rFonts w:ascii="Times New Roman" w:hAnsi="Times New Roman"/>
          <w:sz w:val="24"/>
          <w:szCs w:val="24"/>
        </w:rPr>
        <w:t>электросетевая</w:t>
      </w:r>
      <w:proofErr w:type="spellEnd"/>
      <w:r w:rsidR="00E57E5C" w:rsidRPr="00E57E5C">
        <w:rPr>
          <w:rFonts w:ascii="Times New Roman" w:hAnsi="Times New Roman"/>
          <w:sz w:val="24"/>
          <w:szCs w:val="24"/>
        </w:rPr>
        <w:t xml:space="preserve"> компания»</w:t>
      </w:r>
      <w:r w:rsidR="000D126A" w:rsidRPr="00E57E5C">
        <w:rPr>
          <w:rFonts w:ascii="Times New Roman" w:hAnsi="Times New Roman"/>
          <w:sz w:val="24"/>
          <w:szCs w:val="24"/>
        </w:rPr>
        <w:t>, с оформлением соответствующих документов</w:t>
      </w:r>
      <w:r w:rsidR="00AF634D" w:rsidRPr="00E57E5C">
        <w:rPr>
          <w:rFonts w:ascii="Times New Roman" w:hAnsi="Times New Roman"/>
          <w:sz w:val="24"/>
          <w:szCs w:val="24"/>
        </w:rPr>
        <w:t>.</w:t>
      </w:r>
    </w:p>
    <w:p w:rsidR="002F56EA" w:rsidRPr="00E57E5C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E5C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F400EC" w:rsidRPr="00DE2844" w:rsidRDefault="00F400EC" w:rsidP="00F400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E2844">
        <w:rPr>
          <w:rFonts w:ascii="Times New Roman" w:hAnsi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устройства, составляет </w:t>
      </w:r>
      <w:r w:rsidRPr="00DE2844">
        <w:rPr>
          <w:rFonts w:ascii="Times New Roman" w:hAnsi="Times New Roman"/>
          <w:b/>
          <w:sz w:val="24"/>
          <w:szCs w:val="24"/>
        </w:rPr>
        <w:t>не более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r w:rsidRPr="00DE2844">
        <w:rPr>
          <w:rFonts w:ascii="Times New Roman" w:hAnsi="Times New Roman"/>
          <w:b/>
          <w:sz w:val="24"/>
          <w:szCs w:val="24"/>
        </w:rPr>
        <w:t>300 метров</w:t>
      </w:r>
      <w:r w:rsidRPr="00DE2844">
        <w:rPr>
          <w:rFonts w:ascii="Times New Roman" w:hAnsi="Times New Roman"/>
          <w:sz w:val="24"/>
          <w:szCs w:val="24"/>
        </w:rPr>
        <w:t xml:space="preserve"> в городах и поселках городского типа и </w:t>
      </w:r>
      <w:r w:rsidRPr="00DE2844">
        <w:rPr>
          <w:rFonts w:ascii="Times New Roman" w:hAnsi="Times New Roman"/>
          <w:b/>
          <w:sz w:val="24"/>
          <w:szCs w:val="24"/>
        </w:rPr>
        <w:t>не более 500 метров</w:t>
      </w:r>
      <w:r w:rsidRPr="00DE2844">
        <w:rPr>
          <w:rFonts w:ascii="Times New Roman" w:hAnsi="Times New Roman"/>
          <w:sz w:val="24"/>
          <w:szCs w:val="24"/>
        </w:rPr>
        <w:t xml:space="preserve"> в сельской местности:</w:t>
      </w:r>
      <w:proofErr w:type="gramEnd"/>
    </w:p>
    <w:p w:rsidR="00F400EC" w:rsidRPr="00DE2844" w:rsidRDefault="00F400EC" w:rsidP="00F400EC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2844">
        <w:rPr>
          <w:rFonts w:ascii="Times New Roman" w:hAnsi="Times New Roman"/>
          <w:sz w:val="24"/>
          <w:szCs w:val="24"/>
        </w:rPr>
        <w:t xml:space="preserve">если </w:t>
      </w:r>
      <w:r w:rsidRPr="00DE2844">
        <w:rPr>
          <w:rFonts w:ascii="Times New Roman" w:hAnsi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DE2844">
        <w:rPr>
          <w:rFonts w:ascii="Times New Roman" w:hAnsi="Times New Roman"/>
          <w:sz w:val="24"/>
          <w:szCs w:val="24"/>
        </w:rPr>
        <w:t xml:space="preserve">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</w:t>
      </w:r>
      <w:r w:rsidRPr="00DE2844">
        <w:rPr>
          <w:rFonts w:ascii="Times New Roman" w:hAnsi="Times New Roman"/>
          <w:sz w:val="24"/>
          <w:szCs w:val="24"/>
        </w:rPr>
        <w:lastRenderedPageBreak/>
        <w:t xml:space="preserve">хозяйства от существующих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 до присоединяемых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 - </w:t>
      </w:r>
      <w:r w:rsidRPr="00DE2844">
        <w:rPr>
          <w:rFonts w:ascii="Times New Roman" w:hAnsi="Times New Roman"/>
          <w:b/>
          <w:sz w:val="24"/>
          <w:szCs w:val="24"/>
        </w:rPr>
        <w:t>4 месяца</w:t>
      </w:r>
      <w:r w:rsidRPr="00DE2844">
        <w:rPr>
          <w:rFonts w:ascii="Times New Roman" w:hAnsi="Times New Roman"/>
          <w:sz w:val="24"/>
          <w:szCs w:val="24"/>
        </w:rPr>
        <w:t xml:space="preserve"> с даты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 заключения договора;</w:t>
      </w:r>
    </w:p>
    <w:p w:rsidR="00F400EC" w:rsidRPr="00DE2844" w:rsidRDefault="00F400EC" w:rsidP="00F400EC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E2844">
        <w:rPr>
          <w:rFonts w:ascii="Times New Roman" w:hAnsi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/>
          <w:sz w:val="24"/>
          <w:szCs w:val="24"/>
        </w:rPr>
        <w:t xml:space="preserve"> – </w:t>
      </w:r>
      <w:r w:rsidRPr="00DE2844">
        <w:rPr>
          <w:rFonts w:ascii="Times New Roman" w:hAnsi="Times New Roman"/>
          <w:b/>
          <w:sz w:val="24"/>
          <w:szCs w:val="24"/>
        </w:rPr>
        <w:t>6 месяцев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4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 договора.</w:t>
      </w:r>
    </w:p>
    <w:p w:rsidR="00F400EC" w:rsidRDefault="00F400EC" w:rsidP="00F4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E2844">
        <w:rPr>
          <w:rFonts w:ascii="Times New Roman" w:hAnsi="Times New Roman"/>
          <w:sz w:val="24"/>
          <w:szCs w:val="24"/>
        </w:rPr>
        <w:t xml:space="preserve">При несоблюдении всех вышеуказанных условий - </w:t>
      </w:r>
      <w:r w:rsidRPr="00DE2844">
        <w:rPr>
          <w:rFonts w:ascii="Times New Roman" w:hAnsi="Times New Roman"/>
          <w:b/>
          <w:sz w:val="24"/>
          <w:szCs w:val="24"/>
        </w:rPr>
        <w:t>1 год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4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D27893" w:rsidRPr="00DE2844" w:rsidRDefault="00D27893" w:rsidP="00F4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56EA" w:rsidRPr="003C47DB" w:rsidRDefault="002F56EA" w:rsidP="002F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7"/>
        <w:gridCol w:w="2260"/>
        <w:gridCol w:w="2073"/>
        <w:gridCol w:w="2835"/>
        <w:gridCol w:w="2458"/>
        <w:gridCol w:w="1798"/>
        <w:gridCol w:w="2686"/>
      </w:tblGrid>
      <w:tr w:rsidR="00D46616" w:rsidRPr="005B3A72" w:rsidTr="008E32E1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D46616" w:rsidRPr="005B3A72" w:rsidRDefault="00D46616" w:rsidP="00D4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D46616" w:rsidRPr="005B3A72" w:rsidTr="008E32E1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1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06E0F" w:rsidRDefault="00206E0F" w:rsidP="00206E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Посредство</w:t>
            </w:r>
            <w:r w:rsidRPr="00907B72">
              <w:rPr>
                <w:rFonts w:ascii="Times New Roman" w:hAnsi="Times New Roman"/>
              </w:rPr>
              <w:t xml:space="preserve">м официального сайта </w:t>
            </w:r>
            <w:r w:rsidR="00345A0E">
              <w:rPr>
                <w:rFonts w:ascii="Times New Roman" w:hAnsi="Times New Roman"/>
              </w:rPr>
              <w:t xml:space="preserve">ООО «Городская </w:t>
            </w:r>
            <w:proofErr w:type="spellStart"/>
            <w:r w:rsidR="00345A0E">
              <w:rPr>
                <w:rFonts w:ascii="Times New Roman" w:hAnsi="Times New Roman"/>
              </w:rPr>
              <w:t>электросетевая</w:t>
            </w:r>
            <w:proofErr w:type="spellEnd"/>
            <w:r w:rsidR="00345A0E">
              <w:rPr>
                <w:rFonts w:ascii="Times New Roman" w:hAnsi="Times New Roman"/>
              </w:rPr>
              <w:t xml:space="preserve"> компания» </w:t>
            </w:r>
            <w:hyperlink r:id="rId7" w:history="1">
              <w:r w:rsidRPr="00DD610A">
                <w:rPr>
                  <w:rStyle w:val="a7"/>
                  <w:rFonts w:ascii="Times New Roman" w:hAnsi="Times New Roman"/>
                  <w:sz w:val="24"/>
                </w:rPr>
                <w:t>http://www.</w:t>
              </w:r>
              <w:proofErr w:type="spellStart"/>
              <w:r w:rsidR="008575A4">
                <w:rPr>
                  <w:rStyle w:val="a7"/>
                  <w:rFonts w:ascii="Times New Roman" w:hAnsi="Times New Roman"/>
                  <w:sz w:val="24"/>
                  <w:lang w:val="en-US"/>
                </w:rPr>
                <w:t>gesk</w:t>
              </w:r>
              <w:proofErr w:type="spellEnd"/>
              <w:r w:rsidRPr="00DD610A">
                <w:rPr>
                  <w:rStyle w:val="a7"/>
                  <w:rFonts w:ascii="Times New Roman" w:hAnsi="Times New Roman"/>
                  <w:sz w:val="24"/>
                </w:rPr>
                <w:t>35.</w:t>
              </w:r>
              <w:proofErr w:type="spellStart"/>
              <w:r w:rsidRPr="00DD610A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907B72">
              <w:rPr>
                <w:rFonts w:ascii="Times New Roman" w:hAnsi="Times New Roman"/>
              </w:rPr>
              <w:t>по почте</w:t>
            </w:r>
            <w:r>
              <w:rPr>
                <w:rFonts w:ascii="Times New Roman" w:hAnsi="Times New Roman"/>
              </w:rPr>
              <w:t xml:space="preserve">: </w:t>
            </w:r>
            <w:r w:rsidRPr="00907B72">
              <w:rPr>
                <w:rFonts w:ascii="Times New Roman" w:hAnsi="Times New Roman"/>
              </w:rPr>
              <w:t>16002</w:t>
            </w:r>
            <w:r>
              <w:rPr>
                <w:rFonts w:ascii="Times New Roman" w:hAnsi="Times New Roman"/>
              </w:rPr>
              <w:t>2</w:t>
            </w:r>
            <w:r w:rsidRPr="00907B72">
              <w:rPr>
                <w:rFonts w:ascii="Times New Roman" w:hAnsi="Times New Roman"/>
              </w:rPr>
              <w:t xml:space="preserve">, Россия, Вологодская область, г. Вологда, </w:t>
            </w:r>
            <w:r>
              <w:rPr>
                <w:rFonts w:ascii="Times New Roman" w:hAnsi="Times New Roman"/>
              </w:rPr>
              <w:t xml:space="preserve">Пошехонское </w:t>
            </w:r>
            <w:r w:rsidRPr="00907B72">
              <w:rPr>
                <w:rFonts w:ascii="Times New Roman" w:hAnsi="Times New Roman"/>
              </w:rPr>
              <w:t xml:space="preserve"> шоссе, 1</w:t>
            </w:r>
            <w:r>
              <w:rPr>
                <w:rFonts w:ascii="Times New Roman" w:hAnsi="Times New Roman"/>
              </w:rPr>
              <w:t>8</w:t>
            </w:r>
            <w:r w:rsidR="00345A0E">
              <w:rPr>
                <w:rFonts w:ascii="Times New Roman" w:hAnsi="Times New Roman"/>
              </w:rPr>
              <w:t>, офис 201</w:t>
            </w:r>
            <w:r w:rsidRPr="00907B72">
              <w:rPr>
                <w:rFonts w:ascii="Times New Roman" w:hAnsi="Times New Roman"/>
              </w:rPr>
              <w:t>;</w:t>
            </w:r>
          </w:p>
          <w:p w:rsidR="00D46616" w:rsidRPr="005B3A72" w:rsidRDefault="00206E0F" w:rsidP="00206E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907B72">
              <w:rPr>
                <w:rFonts w:ascii="Times New Roman" w:hAnsi="Times New Roman"/>
              </w:rPr>
              <w:t xml:space="preserve">лично или через уполномоченного представителя в сетевую организацию </w:t>
            </w:r>
            <w:r w:rsidR="00345A0E">
              <w:rPr>
                <w:rFonts w:ascii="Times New Roman" w:hAnsi="Times New Roman"/>
              </w:rPr>
              <w:t xml:space="preserve">ООО «Городская </w:t>
            </w:r>
            <w:proofErr w:type="spellStart"/>
            <w:r w:rsidR="00345A0E">
              <w:rPr>
                <w:rFonts w:ascii="Times New Roman" w:hAnsi="Times New Roman"/>
              </w:rPr>
              <w:t>электросетевая</w:t>
            </w:r>
            <w:proofErr w:type="spellEnd"/>
            <w:r w:rsidR="00345A0E">
              <w:rPr>
                <w:rFonts w:ascii="Times New Roman" w:hAnsi="Times New Roman"/>
              </w:rPr>
              <w:t xml:space="preserve"> компания» </w:t>
            </w:r>
            <w:r w:rsidRPr="00907B72">
              <w:rPr>
                <w:rFonts w:ascii="Times New Roman" w:hAnsi="Times New Roman"/>
              </w:rPr>
              <w:t>по адресу: 16002</w:t>
            </w:r>
            <w:r>
              <w:rPr>
                <w:rFonts w:ascii="Times New Roman" w:hAnsi="Times New Roman"/>
              </w:rPr>
              <w:t>2</w:t>
            </w:r>
            <w:r w:rsidRPr="00907B72">
              <w:rPr>
                <w:rFonts w:ascii="Times New Roman" w:hAnsi="Times New Roman"/>
              </w:rPr>
              <w:t xml:space="preserve">, Россия, Вологодская область, г. Вологда, </w:t>
            </w:r>
            <w:r>
              <w:rPr>
                <w:rFonts w:ascii="Times New Roman" w:hAnsi="Times New Roman"/>
              </w:rPr>
              <w:t xml:space="preserve">Пошехонское </w:t>
            </w:r>
            <w:r w:rsidRPr="00907B72">
              <w:rPr>
                <w:rFonts w:ascii="Times New Roman" w:hAnsi="Times New Roman"/>
              </w:rPr>
              <w:t xml:space="preserve"> шоссе, 1</w:t>
            </w:r>
            <w:r>
              <w:rPr>
                <w:rFonts w:ascii="Times New Roman" w:hAnsi="Times New Roman"/>
              </w:rPr>
              <w:t>8</w:t>
            </w:r>
            <w:r w:rsidR="00345A0E">
              <w:rPr>
                <w:rFonts w:ascii="Times New Roman" w:hAnsi="Times New Roman"/>
              </w:rPr>
              <w:t>, офис 201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 w:rsidRPr="005B3A72">
              <w:rPr>
                <w:rStyle w:val="aa"/>
                <w:rFonts w:ascii="Times New Roman" w:hAnsi="Times New Roman"/>
              </w:rPr>
              <w:footnoteReference w:id="1"/>
            </w:r>
            <w:r w:rsidRPr="005B3A72">
              <w:rPr>
                <w:rFonts w:ascii="Times New Roman" w:hAnsi="Times New Roman"/>
              </w:rPr>
              <w:t>.</w:t>
            </w:r>
          </w:p>
        </w:tc>
      </w:tr>
      <w:tr w:rsidR="00D46616" w:rsidRPr="005B3A72" w:rsidTr="008E32E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10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B3A7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15 дней со дня  получения заявки; </w:t>
            </w:r>
          </w:p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5B3A72">
              <w:rPr>
                <w:rFonts w:ascii="Times New Roman" w:eastAsia="Times New Roman" w:hAnsi="Times New Roman"/>
                <w:lang w:eastAsia="ru-RU"/>
              </w:rPr>
              <w:t>с даты  получения</w:t>
            </w:r>
            <w:proofErr w:type="gramEnd"/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5B3A72">
              <w:rPr>
                <w:rFonts w:ascii="Times New Roman" w:hAnsi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30 дней со  дня получения заявителем проекта договора.</w:t>
            </w:r>
          </w:p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5B3A72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2.3 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B3A7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5 рабочих дней </w:t>
            </w:r>
            <w:proofErr w:type="gramStart"/>
            <w:r w:rsidRPr="005B3A72">
              <w:rPr>
                <w:rFonts w:ascii="Times New Roman" w:eastAsia="Times New Roman" w:hAnsi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2.4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5B3A72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письменной или электронной форме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не позднее 2 рабочих дней </w:t>
            </w:r>
            <w:proofErr w:type="gramStart"/>
            <w:r w:rsidRPr="005B3A72">
              <w:rPr>
                <w:rFonts w:ascii="Times New Roman" w:eastAsia="Times New Roman" w:hAnsi="Times New Roman"/>
                <w:lang w:eastAsia="ru-RU"/>
              </w:rPr>
              <w:t>с даты заключения</w:t>
            </w:r>
            <w:proofErr w:type="gramEnd"/>
            <w:r w:rsidRPr="005B3A72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10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15, 17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5B3A72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3.3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5B3A72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3.4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.</w:t>
            </w:r>
            <w:r w:rsidRPr="005B3A72">
              <w:rPr>
                <w:rFonts w:ascii="Times New Roman" w:hAnsi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71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4.1.</w:t>
            </w:r>
            <w:r w:rsidRPr="005B3A72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A95EC1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D46616" w:rsidRPr="005B3A72">
                <w:rPr>
                  <w:rFonts w:ascii="Times New Roman" w:hAnsi="Times New Roman"/>
                </w:rPr>
                <w:t>Акт</w:t>
              </w:r>
            </w:hyperlink>
            <w:r w:rsidR="00D46616" w:rsidRPr="005B3A72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Пункты 83-89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5B3A72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A95EC1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46616" w:rsidRPr="005B3A72">
                <w:rPr>
                  <w:rFonts w:ascii="Times New Roman" w:hAnsi="Times New Roman"/>
                </w:rPr>
                <w:t>Акт</w:t>
              </w:r>
            </w:hyperlink>
            <w:r w:rsidR="00D46616" w:rsidRPr="005B3A72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Не позднее 3 рабочих дней после получения </w:t>
            </w:r>
            <w:proofErr w:type="gramStart"/>
            <w:r w:rsidRPr="005B3A72">
              <w:rPr>
                <w:rFonts w:ascii="Times New Roman" w:hAnsi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5B3A72">
              <w:rPr>
                <w:rFonts w:ascii="Times New Roman" w:hAnsi="Times New Roman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5B3A72">
              <w:rPr>
                <w:rFonts w:ascii="Times New Roman" w:hAnsi="Times New Roman"/>
              </w:rPr>
              <w:t xml:space="preserve"> Прием в эксплуатацию прибора учета.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A95EC1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D46616" w:rsidRPr="005B3A72">
                <w:rPr>
                  <w:rFonts w:ascii="Times New Roman" w:hAnsi="Times New Roman"/>
                </w:rPr>
                <w:t>Акт</w:t>
              </w:r>
            </w:hyperlink>
            <w:r w:rsidR="00D46616" w:rsidRPr="005B3A72">
              <w:rPr>
                <w:rFonts w:ascii="Times New Roman" w:hAnsi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5B3A72">
              <w:t xml:space="preserve"> 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B3A72">
              <w:rPr>
                <w:rStyle w:val="aa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A72">
              <w:rPr>
                <w:rFonts w:ascii="Times New Roman" w:hAnsi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5B3A72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5B3A72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5B3A72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1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</w:t>
            </w:r>
            <w:r w:rsidRPr="005B3A72">
              <w:rPr>
                <w:rFonts w:ascii="Times New Roman" w:hAnsi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270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5.2.</w:t>
            </w:r>
            <w:r w:rsidRPr="005B3A72">
              <w:rPr>
                <w:rFonts w:ascii="Times New Roman" w:hAnsi="Times New Roman"/>
              </w:rPr>
              <w:t xml:space="preserve"> Оформление сетевой организации и направление (выдача) заявителю: 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Акта об осуществлении технологического присоединения;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Акта разграничения границ балансовой принадлежности сторон;</w:t>
            </w:r>
          </w:p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B3A7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5B3A72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D46616" w:rsidRPr="005B3A72" w:rsidTr="008E32E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A7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5B3A72">
              <w:rPr>
                <w:rFonts w:ascii="Times New Roman" w:hAnsi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B3A72">
              <w:rPr>
                <w:rFonts w:ascii="Times New Roman" w:hAnsi="Times New Roman"/>
              </w:rPr>
              <w:t>энергосбытовую</w:t>
            </w:r>
            <w:proofErr w:type="spellEnd"/>
            <w:r w:rsidRPr="005B3A72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842" w:type="pct"/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5B3A72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6616" w:rsidRPr="005B3A72" w:rsidRDefault="00D46616" w:rsidP="00D46616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5B3A72">
              <w:rPr>
                <w:rFonts w:ascii="Times New Roman" w:hAnsi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shd w:val="clear" w:color="auto" w:fill="auto"/>
          </w:tcPr>
          <w:p w:rsidR="00D46616" w:rsidRPr="005B3A72" w:rsidRDefault="00D46616" w:rsidP="00D46616">
            <w:pPr>
              <w:spacing w:after="0" w:line="240" w:lineRule="auto"/>
            </w:pPr>
            <w:r w:rsidRPr="005B3A72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5B3A7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B3A7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AB3CE4" w:rsidRDefault="00AB3CE4" w:rsidP="005A434E">
      <w:pPr>
        <w:contextualSpacing/>
        <w:rPr>
          <w:rFonts w:ascii="Times New Roman" w:hAnsi="Times New Roman"/>
          <w:b/>
          <w:sz w:val="24"/>
        </w:rPr>
      </w:pPr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b/>
          <w:sz w:val="24"/>
        </w:rPr>
        <w:t>КОНТАКТНАЯ ИНФОРМАЦИЯ ДЛЯ НАПРАВЛЕНИЯ ОБРАЩЕНИЙ:</w:t>
      </w:r>
      <w:r w:rsidRPr="00B80F0C">
        <w:rPr>
          <w:rFonts w:ascii="Times New Roman" w:hAnsi="Times New Roman"/>
          <w:b/>
          <w:sz w:val="24"/>
        </w:rPr>
        <w:br/>
      </w:r>
      <w:r w:rsidRPr="00B80F0C">
        <w:rPr>
          <w:rFonts w:ascii="Times New Roman" w:hAnsi="Times New Roman"/>
          <w:sz w:val="24"/>
        </w:rPr>
        <w:t xml:space="preserve">Адрес сайта в сети Интернет: </w:t>
      </w:r>
      <w:hyperlink r:id="rId11" w:history="1">
        <w:r w:rsidR="00987298" w:rsidRPr="005001EB">
          <w:rPr>
            <w:rStyle w:val="a7"/>
            <w:rFonts w:ascii="Times New Roman" w:hAnsi="Times New Roman"/>
            <w:sz w:val="24"/>
          </w:rPr>
          <w:t>http://www.</w:t>
        </w:r>
        <w:r w:rsidR="00987298" w:rsidRPr="005001EB">
          <w:rPr>
            <w:rStyle w:val="a7"/>
            <w:rFonts w:ascii="Times New Roman" w:hAnsi="Times New Roman"/>
            <w:sz w:val="24"/>
            <w:lang w:val="en-US"/>
          </w:rPr>
          <w:t>gesk</w:t>
        </w:r>
        <w:r w:rsidR="00987298" w:rsidRPr="005001EB">
          <w:rPr>
            <w:rStyle w:val="a7"/>
            <w:rFonts w:ascii="Times New Roman" w:hAnsi="Times New Roman"/>
            <w:sz w:val="24"/>
          </w:rPr>
          <w:t>35.</w:t>
        </w:r>
        <w:r w:rsidR="00987298" w:rsidRPr="005001EB">
          <w:rPr>
            <w:rStyle w:val="a7"/>
            <w:rFonts w:ascii="Times New Roman" w:hAnsi="Times New Roman"/>
            <w:sz w:val="24"/>
            <w:lang w:val="en-US"/>
          </w:rPr>
          <w:t>ru</w:t>
        </w:r>
      </w:hyperlink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sz w:val="24"/>
        </w:rPr>
        <w:t xml:space="preserve">Телефоны для обращений: </w:t>
      </w:r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sz w:val="24"/>
        </w:rPr>
        <w:t>тел/</w:t>
      </w:r>
      <w:proofErr w:type="spellStart"/>
      <w:r w:rsidRPr="00B80F0C">
        <w:rPr>
          <w:rFonts w:ascii="Times New Roman" w:hAnsi="Times New Roman"/>
          <w:sz w:val="24"/>
        </w:rPr>
        <w:t>ф</w:t>
      </w:r>
      <w:proofErr w:type="spellEnd"/>
      <w:r w:rsidRPr="00B80F0C">
        <w:rPr>
          <w:rFonts w:ascii="Times New Roman" w:hAnsi="Times New Roman"/>
          <w:sz w:val="24"/>
        </w:rPr>
        <w:t>:  (8172) 71-23-73</w:t>
      </w:r>
    </w:p>
    <w:p w:rsidR="005A434E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sz w:val="24"/>
        </w:rPr>
        <w:t>8-921-126-89-88</w:t>
      </w:r>
    </w:p>
    <w:p w:rsidR="005A434E" w:rsidRPr="00467ECC" w:rsidRDefault="005A434E" w:rsidP="005A434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B013A" w:rsidRPr="00631C51" w:rsidRDefault="00FB013A" w:rsidP="00FB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991" w:rsidRDefault="00DB0991" w:rsidP="005A43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DB0991" w:rsidSect="00206E0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50" w:rsidRDefault="00307450" w:rsidP="00FB013A">
      <w:pPr>
        <w:spacing w:after="0" w:line="240" w:lineRule="auto"/>
      </w:pPr>
      <w:r>
        <w:separator/>
      </w:r>
    </w:p>
  </w:endnote>
  <w:endnote w:type="continuationSeparator" w:id="0">
    <w:p w:rsidR="00307450" w:rsidRDefault="00307450" w:rsidP="00FB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50" w:rsidRDefault="00307450" w:rsidP="00FB013A">
      <w:pPr>
        <w:spacing w:after="0" w:line="240" w:lineRule="auto"/>
      </w:pPr>
      <w:r>
        <w:separator/>
      </w:r>
    </w:p>
  </w:footnote>
  <w:footnote w:type="continuationSeparator" w:id="0">
    <w:p w:rsidR="00307450" w:rsidRDefault="00307450" w:rsidP="00FB013A">
      <w:pPr>
        <w:spacing w:after="0" w:line="240" w:lineRule="auto"/>
      </w:pPr>
      <w:r>
        <w:continuationSeparator/>
      </w:r>
    </w:p>
  </w:footnote>
  <w:footnote w:id="1">
    <w:p w:rsidR="008E32E1" w:rsidRDefault="008E32E1" w:rsidP="00D4661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DE2844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/>
        </w:rPr>
        <w:t>энергопринимающих</w:t>
      </w:r>
      <w:proofErr w:type="spellEnd"/>
      <w:r w:rsidRPr="00DE2844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E2844">
        <w:rPr>
          <w:rFonts w:ascii="Times New Roman" w:hAnsi="Times New Roman"/>
        </w:rPr>
        <w:t>электросетевого</w:t>
      </w:r>
      <w:proofErr w:type="spellEnd"/>
      <w:r w:rsidRPr="00DE284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8E32E1" w:rsidRDefault="008E32E1" w:rsidP="00D4661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C8718B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D4E"/>
    <w:multiLevelType w:val="hybridMultilevel"/>
    <w:tmpl w:val="D5C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3E1C45"/>
    <w:multiLevelType w:val="hybridMultilevel"/>
    <w:tmpl w:val="2C6EE6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5E19A2"/>
    <w:multiLevelType w:val="hybridMultilevel"/>
    <w:tmpl w:val="D65891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0F"/>
    <w:rsid w:val="00046035"/>
    <w:rsid w:val="00062A77"/>
    <w:rsid w:val="000C4F16"/>
    <w:rsid w:val="000D126A"/>
    <w:rsid w:val="001974E0"/>
    <w:rsid w:val="001C6DDD"/>
    <w:rsid w:val="00206E0F"/>
    <w:rsid w:val="00216EB5"/>
    <w:rsid w:val="0025107E"/>
    <w:rsid w:val="002973AB"/>
    <w:rsid w:val="002B2990"/>
    <w:rsid w:val="002F56EA"/>
    <w:rsid w:val="00307450"/>
    <w:rsid w:val="00345A0E"/>
    <w:rsid w:val="00352E8C"/>
    <w:rsid w:val="00363A8D"/>
    <w:rsid w:val="003A652C"/>
    <w:rsid w:val="003F42AF"/>
    <w:rsid w:val="004F12E8"/>
    <w:rsid w:val="00535B41"/>
    <w:rsid w:val="0054267C"/>
    <w:rsid w:val="00557DFE"/>
    <w:rsid w:val="005A434E"/>
    <w:rsid w:val="005C4E35"/>
    <w:rsid w:val="00631C51"/>
    <w:rsid w:val="0067538D"/>
    <w:rsid w:val="0068758E"/>
    <w:rsid w:val="006A6F02"/>
    <w:rsid w:val="006A7338"/>
    <w:rsid w:val="007D4E55"/>
    <w:rsid w:val="007E1455"/>
    <w:rsid w:val="007E1A0F"/>
    <w:rsid w:val="0085522D"/>
    <w:rsid w:val="00855D44"/>
    <w:rsid w:val="008575A4"/>
    <w:rsid w:val="008E32E1"/>
    <w:rsid w:val="00907B72"/>
    <w:rsid w:val="00941CCF"/>
    <w:rsid w:val="00964343"/>
    <w:rsid w:val="00987298"/>
    <w:rsid w:val="00990762"/>
    <w:rsid w:val="009A4F10"/>
    <w:rsid w:val="00A447FC"/>
    <w:rsid w:val="00A95EC1"/>
    <w:rsid w:val="00AA7CA1"/>
    <w:rsid w:val="00AB37FD"/>
    <w:rsid w:val="00AB3CE4"/>
    <w:rsid w:val="00AB72B0"/>
    <w:rsid w:val="00AD5210"/>
    <w:rsid w:val="00AF634D"/>
    <w:rsid w:val="00B01ACA"/>
    <w:rsid w:val="00B6371E"/>
    <w:rsid w:val="00BA30AC"/>
    <w:rsid w:val="00C402BB"/>
    <w:rsid w:val="00C41140"/>
    <w:rsid w:val="00CC4195"/>
    <w:rsid w:val="00CF3FAD"/>
    <w:rsid w:val="00D142B8"/>
    <w:rsid w:val="00D24A5F"/>
    <w:rsid w:val="00D27893"/>
    <w:rsid w:val="00D46616"/>
    <w:rsid w:val="00DB0991"/>
    <w:rsid w:val="00E57E5C"/>
    <w:rsid w:val="00E85B9C"/>
    <w:rsid w:val="00EB5317"/>
    <w:rsid w:val="00F129B1"/>
    <w:rsid w:val="00F226B8"/>
    <w:rsid w:val="00F400EC"/>
    <w:rsid w:val="00F45324"/>
    <w:rsid w:val="00F47C5B"/>
    <w:rsid w:val="00F740AA"/>
    <w:rsid w:val="00FB013A"/>
    <w:rsid w:val="00FB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B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5B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DB0991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FB01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B013A"/>
    <w:rPr>
      <w:lang w:eastAsia="en-US"/>
    </w:rPr>
  </w:style>
  <w:style w:type="character" w:styleId="aa">
    <w:name w:val="footnote reference"/>
    <w:uiPriority w:val="99"/>
    <w:unhideWhenUsed/>
    <w:rsid w:val="00FB0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sk3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k35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&#1072;&#1081;&#1090;\&#1056;&#1072;&#1089;&#1082;&#1088;&#1099;&#1090;&#1080;&#1077;%20&#1080;&#1085;&#1092;&#1086;&#1088;&#1084;&#1072;&#1094;&#1080;&#1080;\&#1055;&#1072;&#1089;&#1087;&#1086;&#1088;&#1090;&#1072;%20&#1091;&#1089;&#1083;&#1091;&#1075;\tp_15-150_kw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tp_15-150_kwt</Template>
  <TotalTime>4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Links>
    <vt:vector size="30" baseType="variant"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9</cp:revision>
  <cp:lastPrinted>2015-04-10T12:47:00Z</cp:lastPrinted>
  <dcterms:created xsi:type="dcterms:W3CDTF">2017-05-12T08:08:00Z</dcterms:created>
  <dcterms:modified xsi:type="dcterms:W3CDTF">2017-05-17T12:29:00Z</dcterms:modified>
</cp:coreProperties>
</file>