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821A70" w:rsidP="00846278">
      <w:pPr>
        <w:jc w:val="right"/>
        <w:outlineLvl w:val="0"/>
        <w:rPr>
          <w:b/>
          <w:sz w:val="20"/>
          <w:szCs w:val="20"/>
        </w:rPr>
      </w:pPr>
      <w:r>
        <w:rPr>
          <w:b/>
          <w:sz w:val="20"/>
          <w:szCs w:val="20"/>
        </w:rPr>
        <w:t>Форма 1.8</w:t>
      </w:r>
    </w:p>
    <w:p w:rsidR="006302C4" w:rsidRDefault="006302C4" w:rsidP="006302C4">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6302C4" w:rsidRPr="0064749E" w:rsidRDefault="006302C4" w:rsidP="00846278">
      <w:pPr>
        <w:jc w:val="right"/>
        <w:outlineLvl w:val="0"/>
        <w:rPr>
          <w:b/>
          <w:sz w:val="20"/>
          <w:szCs w:val="20"/>
        </w:rPr>
      </w:pPr>
    </w:p>
    <w:p w:rsidR="0064749E" w:rsidRDefault="0064749E" w:rsidP="0064749E">
      <w:pPr>
        <w:jc w:val="center"/>
        <w:rPr>
          <w:b/>
        </w:rPr>
      </w:pPr>
    </w:p>
    <w:tbl>
      <w:tblPr>
        <w:tblW w:w="8352" w:type="dxa"/>
        <w:tblInd w:w="828" w:type="dxa"/>
        <w:tblLook w:val="01E0"/>
      </w:tblPr>
      <w:tblGrid>
        <w:gridCol w:w="8352"/>
      </w:tblGrid>
      <w:tr w:rsidR="009722BB" w:rsidRPr="0061685B" w:rsidTr="00C50BCE">
        <w:tc>
          <w:tcPr>
            <w:tcW w:w="8352" w:type="dxa"/>
            <w:tcBorders>
              <w:bottom w:val="single" w:sz="4" w:space="0" w:color="auto"/>
            </w:tcBorders>
          </w:tcPr>
          <w:p w:rsidR="009722BB" w:rsidRPr="0061685B" w:rsidRDefault="00C50BCE" w:rsidP="0061685B">
            <w:pPr>
              <w:jc w:val="center"/>
              <w:rPr>
                <w:b/>
              </w:rPr>
            </w:pPr>
            <w:r>
              <w:rPr>
                <w:b/>
                <w:sz w:val="22"/>
                <w:szCs w:val="22"/>
              </w:rPr>
              <w:t>ООО «Городская электросетевая компания»</w:t>
            </w:r>
          </w:p>
        </w:tc>
      </w:tr>
      <w:tr w:rsidR="009722BB" w:rsidRPr="0061685B" w:rsidTr="00C50BCE">
        <w:tc>
          <w:tcPr>
            <w:tcW w:w="8352" w:type="dxa"/>
            <w:tcBorders>
              <w:top w:val="single" w:sz="4" w:space="0" w:color="auto"/>
            </w:tcBorders>
          </w:tcPr>
          <w:p w:rsidR="009722BB" w:rsidRPr="009722BB" w:rsidRDefault="009722BB" w:rsidP="0061685B">
            <w:pPr>
              <w:jc w:val="center"/>
            </w:pPr>
            <w:r w:rsidRPr="0061685B">
              <w:rPr>
                <w:sz w:val="18"/>
                <w:szCs w:val="18"/>
              </w:rPr>
              <w:t>(наименование организации)</w:t>
            </w:r>
          </w:p>
        </w:tc>
      </w:tr>
      <w:tr w:rsidR="009722BB" w:rsidRPr="0061685B" w:rsidTr="00C50BCE">
        <w:tc>
          <w:tcPr>
            <w:tcW w:w="8352" w:type="dxa"/>
            <w:tcBorders>
              <w:bottom w:val="single" w:sz="4" w:space="0" w:color="auto"/>
            </w:tcBorders>
          </w:tcPr>
          <w:p w:rsidR="009722BB" w:rsidRPr="0061685B" w:rsidRDefault="00C50BCE" w:rsidP="0061685B">
            <w:pPr>
              <w:jc w:val="center"/>
              <w:rPr>
                <w:b/>
              </w:rPr>
            </w:pPr>
            <w:r w:rsidRPr="009D2392">
              <w:rPr>
                <w:b/>
                <w:sz w:val="22"/>
                <w:szCs w:val="22"/>
              </w:rPr>
              <w:t>160022, Российская Федерация, г. Вологда, ул. Пошехонское шоссе, д.18</w:t>
            </w:r>
            <w:r>
              <w:rPr>
                <w:b/>
                <w:sz w:val="22"/>
                <w:szCs w:val="22"/>
              </w:rPr>
              <w:t>, офис 201</w:t>
            </w:r>
          </w:p>
        </w:tc>
      </w:tr>
      <w:tr w:rsidR="009722BB" w:rsidRPr="0061685B" w:rsidTr="00C50BCE">
        <w:tc>
          <w:tcPr>
            <w:tcW w:w="8352" w:type="dxa"/>
            <w:tcBorders>
              <w:top w:val="single" w:sz="4" w:space="0" w:color="auto"/>
            </w:tcBorders>
          </w:tcPr>
          <w:p w:rsidR="009722BB" w:rsidRPr="009722BB" w:rsidRDefault="009722BB" w:rsidP="0061685B">
            <w:pPr>
              <w:jc w:val="center"/>
            </w:pPr>
            <w:r w:rsidRPr="0061685B">
              <w:rPr>
                <w:sz w:val="18"/>
                <w:szCs w:val="18"/>
              </w:rPr>
              <w:t>(адрес организации)</w:t>
            </w:r>
          </w:p>
        </w:tc>
      </w:tr>
    </w:tbl>
    <w:p w:rsidR="006302C4" w:rsidRDefault="00630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6302C4" w:rsidRPr="0061685B" w:rsidTr="0061685B">
        <w:trPr>
          <w:trHeight w:val="1469"/>
        </w:trPr>
        <w:tc>
          <w:tcPr>
            <w:tcW w:w="9571" w:type="dxa"/>
            <w:shd w:val="clear" w:color="auto" w:fill="C0C0C0"/>
            <w:vAlign w:val="center"/>
          </w:tcPr>
          <w:p w:rsidR="006302C4" w:rsidRPr="0061685B" w:rsidRDefault="006302C4" w:rsidP="0061685B">
            <w:pPr>
              <w:jc w:val="center"/>
              <w:rPr>
                <w:b/>
              </w:rPr>
            </w:pPr>
            <w:r w:rsidRPr="0061685B">
              <w:rPr>
                <w:b/>
              </w:rPr>
              <w:t xml:space="preserve">Порядок выполнения технологических, технических и других мероприятий, связанных с технологическими присоединениями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w:t>
            </w:r>
            <w:r w:rsidRPr="0061685B">
              <w:rPr>
                <w:b/>
                <w:u w:val="single"/>
              </w:rPr>
              <w:t>указанием ссылок на нормативные правовые акты</w:t>
            </w:r>
          </w:p>
        </w:tc>
      </w:tr>
    </w:tbl>
    <w:p w:rsidR="00AD1C58" w:rsidRDefault="00AD1C58" w:rsidP="00AD1C5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B952C2" w:rsidRPr="0061685B" w:rsidTr="0061685B">
        <w:tc>
          <w:tcPr>
            <w:tcW w:w="1548" w:type="dxa"/>
            <w:vMerge w:val="restart"/>
            <w:vAlign w:val="center"/>
          </w:tcPr>
          <w:p w:rsidR="00B952C2" w:rsidRPr="0061685B" w:rsidRDefault="00B952C2" w:rsidP="00B952C2">
            <w:pPr>
              <w:rPr>
                <w:sz w:val="20"/>
                <w:szCs w:val="20"/>
              </w:rPr>
            </w:pPr>
            <w:r w:rsidRPr="0061685B">
              <w:rPr>
                <w:sz w:val="20"/>
                <w:szCs w:val="20"/>
              </w:rPr>
              <w:t>Место опубликования</w:t>
            </w:r>
          </w:p>
        </w:tc>
        <w:tc>
          <w:tcPr>
            <w:tcW w:w="3960" w:type="dxa"/>
            <w:vAlign w:val="center"/>
          </w:tcPr>
          <w:p w:rsidR="00B952C2" w:rsidRPr="0061685B" w:rsidRDefault="00B952C2" w:rsidP="00B952C2">
            <w:pPr>
              <w:rPr>
                <w:sz w:val="20"/>
                <w:szCs w:val="20"/>
              </w:rPr>
            </w:pPr>
            <w:r w:rsidRPr="0061685B">
              <w:rPr>
                <w:sz w:val="20"/>
                <w:szCs w:val="20"/>
              </w:rPr>
              <w:t>Печатное издание</w:t>
            </w:r>
            <w:r w:rsidR="00244A94" w:rsidRPr="0061685B">
              <w:rPr>
                <w:sz w:val="20"/>
                <w:szCs w:val="20"/>
              </w:rPr>
              <w:t xml:space="preserve"> (</w:t>
            </w:r>
            <w:r w:rsidR="00D924A5" w:rsidRPr="0061685B">
              <w:rPr>
                <w:sz w:val="20"/>
                <w:szCs w:val="20"/>
              </w:rPr>
              <w:t xml:space="preserve">наименование, </w:t>
            </w:r>
            <w:r w:rsidR="00244A94" w:rsidRPr="0061685B">
              <w:rPr>
                <w:sz w:val="20"/>
                <w:szCs w:val="20"/>
              </w:rPr>
              <w:t>№, дата)</w:t>
            </w:r>
          </w:p>
        </w:tc>
        <w:tc>
          <w:tcPr>
            <w:tcW w:w="3060" w:type="dxa"/>
            <w:vAlign w:val="center"/>
          </w:tcPr>
          <w:p w:rsidR="00B952C2" w:rsidRPr="0061685B" w:rsidRDefault="00B952C2" w:rsidP="0061685B">
            <w:pPr>
              <w:jc w:val="center"/>
              <w:rPr>
                <w:sz w:val="20"/>
                <w:szCs w:val="20"/>
              </w:rPr>
            </w:pPr>
          </w:p>
        </w:tc>
      </w:tr>
      <w:tr w:rsidR="00B952C2" w:rsidRPr="0061685B" w:rsidTr="0061685B">
        <w:tc>
          <w:tcPr>
            <w:tcW w:w="1548" w:type="dxa"/>
            <w:vMerge/>
            <w:vAlign w:val="center"/>
          </w:tcPr>
          <w:p w:rsidR="00B952C2" w:rsidRPr="0061685B" w:rsidRDefault="00B952C2" w:rsidP="00B952C2">
            <w:pPr>
              <w:rPr>
                <w:sz w:val="20"/>
                <w:szCs w:val="20"/>
              </w:rPr>
            </w:pPr>
          </w:p>
        </w:tc>
        <w:tc>
          <w:tcPr>
            <w:tcW w:w="3960" w:type="dxa"/>
            <w:vAlign w:val="center"/>
          </w:tcPr>
          <w:p w:rsidR="00B952C2" w:rsidRPr="0061685B" w:rsidRDefault="00B952C2" w:rsidP="00B952C2">
            <w:pPr>
              <w:rPr>
                <w:sz w:val="20"/>
                <w:szCs w:val="20"/>
                <w:lang w:val="en-US"/>
              </w:rPr>
            </w:pPr>
            <w:r w:rsidRPr="0061685B">
              <w:rPr>
                <w:sz w:val="20"/>
                <w:szCs w:val="20"/>
              </w:rPr>
              <w:t>Наименование сайта/</w:t>
            </w:r>
            <w:r w:rsidRPr="0061685B">
              <w:rPr>
                <w:sz w:val="20"/>
                <w:szCs w:val="20"/>
                <w:lang w:val="en-US"/>
              </w:rPr>
              <w:t>URL</w:t>
            </w:r>
          </w:p>
        </w:tc>
        <w:tc>
          <w:tcPr>
            <w:tcW w:w="3060" w:type="dxa"/>
            <w:vAlign w:val="center"/>
          </w:tcPr>
          <w:p w:rsidR="00B952C2" w:rsidRPr="0061685B" w:rsidRDefault="00C50BCE" w:rsidP="0061685B">
            <w:pPr>
              <w:jc w:val="center"/>
              <w:rPr>
                <w:sz w:val="20"/>
                <w:szCs w:val="20"/>
              </w:rPr>
            </w:pPr>
            <w:r w:rsidRPr="00DA3004">
              <w:rPr>
                <w:b/>
                <w:bCs/>
                <w:sz w:val="20"/>
                <w:szCs w:val="20"/>
                <w:lang w:val="en-US"/>
              </w:rPr>
              <w:t>http://gesk35.ru</w:t>
            </w: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Дата опубликования</w:t>
            </w:r>
          </w:p>
        </w:tc>
        <w:tc>
          <w:tcPr>
            <w:tcW w:w="3060" w:type="dxa"/>
            <w:vAlign w:val="center"/>
          </w:tcPr>
          <w:p w:rsidR="00B952C2" w:rsidRPr="0061685B" w:rsidRDefault="008A0045" w:rsidP="0061685B">
            <w:pPr>
              <w:jc w:val="center"/>
              <w:rPr>
                <w:sz w:val="20"/>
                <w:szCs w:val="20"/>
              </w:rPr>
            </w:pPr>
            <w:r>
              <w:rPr>
                <w:sz w:val="20"/>
                <w:szCs w:val="20"/>
              </w:rPr>
              <w:t>27</w:t>
            </w:r>
            <w:r w:rsidR="00C95488">
              <w:rPr>
                <w:sz w:val="20"/>
                <w:szCs w:val="20"/>
              </w:rPr>
              <w:t>.02.201</w:t>
            </w:r>
            <w:r w:rsidR="00C7164F">
              <w:rPr>
                <w:sz w:val="20"/>
                <w:szCs w:val="20"/>
              </w:rPr>
              <w:t>8</w:t>
            </w: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Отчетный период</w:t>
            </w:r>
          </w:p>
        </w:tc>
        <w:tc>
          <w:tcPr>
            <w:tcW w:w="3060" w:type="dxa"/>
            <w:vAlign w:val="center"/>
          </w:tcPr>
          <w:p w:rsidR="00B952C2" w:rsidRPr="0061685B" w:rsidRDefault="008A0045" w:rsidP="0061685B">
            <w:pPr>
              <w:jc w:val="center"/>
              <w:rPr>
                <w:sz w:val="20"/>
                <w:szCs w:val="20"/>
              </w:rPr>
            </w:pPr>
            <w:r>
              <w:rPr>
                <w:sz w:val="20"/>
                <w:szCs w:val="20"/>
              </w:rPr>
              <w:t>2017</w:t>
            </w:r>
            <w:r w:rsidR="00C95488">
              <w:rPr>
                <w:sz w:val="20"/>
                <w:szCs w:val="20"/>
              </w:rPr>
              <w:t xml:space="preserve"> год</w:t>
            </w:r>
          </w:p>
        </w:tc>
      </w:tr>
    </w:tbl>
    <w:p w:rsidR="00B952C2" w:rsidRDefault="00B952C2" w:rsidP="00AD1C58">
      <w:pPr>
        <w:jc w:val="center"/>
        <w:rPr>
          <w:b/>
        </w:rPr>
      </w:pPr>
    </w:p>
    <w:p w:rsidR="00C95488" w:rsidRPr="006224E2" w:rsidRDefault="00C95488" w:rsidP="00C95488">
      <w:pPr>
        <w:jc w:val="center"/>
        <w:outlineLvl w:val="1"/>
        <w:rPr>
          <w:rFonts w:ascii="Arial" w:hAnsi="Arial" w:cs="Arial"/>
          <w:b/>
          <w:sz w:val="20"/>
          <w:szCs w:val="20"/>
        </w:rPr>
      </w:pPr>
      <w:r w:rsidRPr="006224E2">
        <w:rPr>
          <w:rFonts w:ascii="Arial" w:hAnsi="Arial" w:cs="Arial"/>
          <w:b/>
          <w:sz w:val="20"/>
          <w:szCs w:val="20"/>
        </w:rPr>
        <w:t>Технологическое присоединение и типовые договора об осуществлении технологического присоединения</w:t>
      </w:r>
    </w:p>
    <w:p w:rsidR="00C95488" w:rsidRDefault="00C95488" w:rsidP="00C95488">
      <w:pPr>
        <w:jc w:val="both"/>
        <w:rPr>
          <w:rFonts w:ascii="Arial" w:hAnsi="Arial" w:cs="Arial"/>
          <w:color w:val="000000"/>
          <w:sz w:val="20"/>
          <w:szCs w:val="20"/>
        </w:rPr>
      </w:pPr>
      <w:r w:rsidRPr="006224E2">
        <w:rPr>
          <w:rFonts w:ascii="Arial" w:hAnsi="Arial" w:cs="Arial"/>
          <w:b/>
          <w:bCs/>
          <w:color w:val="000000"/>
          <w:sz w:val="20"/>
          <w:szCs w:val="20"/>
        </w:rPr>
        <w:t>Технологическое присоединение</w:t>
      </w:r>
      <w:r w:rsidRPr="006224E2">
        <w:rPr>
          <w:rFonts w:ascii="Arial" w:hAnsi="Arial" w:cs="Arial"/>
          <w:color w:val="000000"/>
          <w:sz w:val="20"/>
          <w:szCs w:val="20"/>
        </w:rPr>
        <w:t xml:space="preserve"> – это комплекс мероприятий, осуществляемый для подключения энергопринимающих устройств юридических и физических лиц к электрическим сетям. Под энергопринимающим устройством понимается совокупность машин (аппаратов, линий и иного оборудования), находящихся у заказчика в собственности или на ином законном праве и обеспечивающих возможность потребления электрической энергии.</w:t>
      </w:r>
    </w:p>
    <w:p w:rsidR="00C95488" w:rsidRPr="006224E2" w:rsidRDefault="00C95488" w:rsidP="00C95488">
      <w:pPr>
        <w:jc w:val="both"/>
        <w:rPr>
          <w:rFonts w:ascii="Arial" w:hAnsi="Arial" w:cs="Arial"/>
          <w:color w:val="000000"/>
          <w:sz w:val="20"/>
          <w:szCs w:val="20"/>
        </w:rPr>
      </w:pPr>
    </w:p>
    <w:p w:rsidR="00C95488" w:rsidRDefault="00C95488" w:rsidP="00C95488">
      <w:pPr>
        <w:jc w:val="both"/>
        <w:rPr>
          <w:rFonts w:ascii="Arial" w:hAnsi="Arial" w:cs="Arial"/>
          <w:sz w:val="20"/>
          <w:szCs w:val="20"/>
        </w:rPr>
      </w:pPr>
      <w:r w:rsidRPr="00DC2D94">
        <w:rPr>
          <w:rFonts w:ascii="Arial" w:hAnsi="Arial" w:cs="Arial"/>
          <w:b/>
          <w:bCs/>
          <w:color w:val="000000"/>
          <w:sz w:val="20"/>
          <w:szCs w:val="20"/>
        </w:rPr>
        <w:t>Процедура технологического присоединения</w:t>
      </w:r>
      <w:r w:rsidRPr="00DC2D94">
        <w:rPr>
          <w:rFonts w:ascii="Arial" w:hAnsi="Arial" w:cs="Arial"/>
          <w:color w:val="000000"/>
          <w:sz w:val="20"/>
          <w:szCs w:val="20"/>
        </w:rPr>
        <w:t xml:space="preserve"> выполняется при присоединении </w:t>
      </w:r>
      <w:r w:rsidRPr="00DC2D94">
        <w:rPr>
          <w:rFonts w:ascii="Arial" w:hAnsi="Arial" w:cs="Arial"/>
          <w:sz w:val="20"/>
          <w:szCs w:val="20"/>
        </w:rPr>
        <w:t>впервые вводимых в эксплуатацию, ранее присоединенных реконструируемых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95488" w:rsidRPr="00DC2D94" w:rsidRDefault="00C95488" w:rsidP="00C95488">
      <w:pPr>
        <w:jc w:val="both"/>
        <w:rPr>
          <w:rFonts w:ascii="Arial" w:hAnsi="Arial" w:cs="Arial"/>
          <w:color w:val="000000"/>
          <w:sz w:val="20"/>
          <w:szCs w:val="20"/>
        </w:rPr>
      </w:pPr>
    </w:p>
    <w:p w:rsidR="00C95488" w:rsidRDefault="00C95488" w:rsidP="00C95488">
      <w:pPr>
        <w:jc w:val="both"/>
        <w:rPr>
          <w:rFonts w:ascii="Arial" w:hAnsi="Arial" w:cs="Arial"/>
          <w:b/>
          <w:bCs/>
          <w:color w:val="000000"/>
          <w:sz w:val="20"/>
          <w:szCs w:val="20"/>
        </w:rPr>
      </w:pPr>
      <w:r w:rsidRPr="006224E2">
        <w:rPr>
          <w:rFonts w:ascii="Arial" w:hAnsi="Arial" w:cs="Arial"/>
          <w:b/>
          <w:bCs/>
          <w:color w:val="000000"/>
          <w:sz w:val="20"/>
          <w:szCs w:val="20"/>
        </w:rPr>
        <w:t>Порядок технологического присоединения регулируется:</w:t>
      </w:r>
    </w:p>
    <w:p w:rsidR="00C95488" w:rsidRDefault="00C95488" w:rsidP="00C95488">
      <w:pPr>
        <w:jc w:val="both"/>
        <w:rPr>
          <w:rFonts w:ascii="Arial" w:hAnsi="Arial" w:cs="Arial"/>
          <w:b/>
          <w:bCs/>
          <w:color w:val="000000"/>
          <w:sz w:val="20"/>
          <w:szCs w:val="20"/>
        </w:rPr>
      </w:pPr>
    </w:p>
    <w:p w:rsidR="00C95488" w:rsidRDefault="00C95488" w:rsidP="00C95488">
      <w:pPr>
        <w:jc w:val="both"/>
        <w:rPr>
          <w:rFonts w:ascii="Arial" w:hAnsi="Arial" w:cs="Arial"/>
          <w:b/>
          <w:bCs/>
          <w:color w:val="000000"/>
          <w:sz w:val="20"/>
          <w:szCs w:val="20"/>
        </w:rPr>
      </w:pPr>
      <w:r>
        <w:rPr>
          <w:rFonts w:ascii="Arial" w:hAnsi="Arial" w:cs="Arial"/>
          <w:b/>
          <w:bCs/>
          <w:color w:val="000000"/>
          <w:sz w:val="20"/>
          <w:szCs w:val="20"/>
        </w:rPr>
        <w:t>«Правиами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 861 (в редакции Постановления Правительства Российской Федерации от 21 марта 2007 г. № 168).</w:t>
      </w:r>
    </w:p>
    <w:p w:rsidR="00C95488" w:rsidRDefault="00C95488" w:rsidP="00C95488">
      <w:pPr>
        <w:jc w:val="both"/>
        <w:rPr>
          <w:rFonts w:ascii="Arial" w:hAnsi="Arial" w:cs="Arial"/>
          <w:b/>
          <w:bCs/>
          <w:color w:val="000000"/>
          <w:sz w:val="20"/>
          <w:szCs w:val="20"/>
        </w:rPr>
      </w:pPr>
      <w:r>
        <w:rPr>
          <w:rFonts w:ascii="Arial" w:hAnsi="Arial" w:cs="Arial"/>
          <w:b/>
          <w:bCs/>
          <w:color w:val="000000"/>
          <w:sz w:val="20"/>
          <w:szCs w:val="20"/>
        </w:rPr>
        <w:t>Федеральный закон № 35 - ФЗ от 26. 03. 2003 г. «Об электроэнергетике» ст. 26.</w:t>
      </w:r>
    </w:p>
    <w:p w:rsidR="00C95488" w:rsidRPr="006224E2" w:rsidRDefault="00C95488" w:rsidP="00C95488">
      <w:pPr>
        <w:jc w:val="both"/>
        <w:rPr>
          <w:rFonts w:ascii="Arial" w:hAnsi="Arial" w:cs="Arial"/>
          <w:color w:val="000000"/>
          <w:sz w:val="20"/>
          <w:szCs w:val="20"/>
        </w:rPr>
      </w:pPr>
    </w:p>
    <w:p w:rsidR="00C95488" w:rsidRPr="006224E2" w:rsidRDefault="00C95488" w:rsidP="00C95488">
      <w:pPr>
        <w:rPr>
          <w:rFonts w:ascii="Arial" w:hAnsi="Arial" w:cs="Arial"/>
          <w:b/>
          <w:bCs/>
          <w:color w:val="000000"/>
          <w:sz w:val="18"/>
          <w:szCs w:val="18"/>
        </w:rPr>
      </w:pPr>
      <w:r w:rsidRPr="006224E2">
        <w:rPr>
          <w:rFonts w:ascii="Arial" w:hAnsi="Arial" w:cs="Arial"/>
          <w:b/>
          <w:bCs/>
          <w:color w:val="000000"/>
          <w:sz w:val="18"/>
          <w:szCs w:val="18"/>
        </w:rPr>
        <w:t>Процедура технологического присоединения (</w:t>
      </w:r>
      <w:r w:rsidRPr="006224E2">
        <w:rPr>
          <w:rFonts w:ascii="Arial" w:hAnsi="Arial" w:cs="Arial"/>
          <w:color w:val="000000"/>
          <w:sz w:val="18"/>
          <w:szCs w:val="18"/>
        </w:rPr>
        <w:t xml:space="preserve">пункт 7 </w:t>
      </w:r>
      <w:r w:rsidRPr="00B45133">
        <w:rPr>
          <w:rFonts w:ascii="Arial" w:hAnsi="Arial" w:cs="Arial"/>
          <w:sz w:val="18"/>
          <w:szCs w:val="18"/>
        </w:rPr>
        <w:t>Правил технологического присоединения</w:t>
      </w:r>
      <w:r w:rsidRPr="006224E2">
        <w:rPr>
          <w:rFonts w:ascii="Arial" w:hAnsi="Arial" w:cs="Arial"/>
          <w:b/>
          <w:bCs/>
          <w:color w:val="000000"/>
          <w:sz w:val="18"/>
          <w:szCs w:val="18"/>
        </w:rPr>
        <w:t>):</w:t>
      </w:r>
    </w:p>
    <w:p w:rsidR="00C95488" w:rsidRPr="006224E2" w:rsidRDefault="00C95488" w:rsidP="00C95488">
      <w:pPr>
        <w:pStyle w:val="ConsPlusNormal"/>
        <w:widowControl/>
        <w:ind w:firstLine="540"/>
        <w:jc w:val="both"/>
      </w:pPr>
      <w:r w:rsidRPr="006224E2">
        <w:t xml:space="preserve">а) </w:t>
      </w:r>
      <w:r>
        <w:t>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C95488" w:rsidRPr="006224E2" w:rsidRDefault="00C95488" w:rsidP="00C95488">
      <w:pPr>
        <w:pStyle w:val="ConsPlusNormal"/>
        <w:widowControl/>
        <w:ind w:firstLine="540"/>
        <w:jc w:val="both"/>
      </w:pPr>
      <w:r w:rsidRPr="006224E2">
        <w:t>б) заключение договора;</w:t>
      </w:r>
    </w:p>
    <w:p w:rsidR="00C95488" w:rsidRPr="006224E2" w:rsidRDefault="00C95488" w:rsidP="00C95488">
      <w:pPr>
        <w:pStyle w:val="ConsPlusNormal"/>
        <w:widowControl/>
        <w:ind w:firstLine="540"/>
        <w:jc w:val="both"/>
      </w:pPr>
      <w:r w:rsidRPr="006224E2">
        <w:t>в) выполнение сторонами договора мероприятий, предусмотренных договором;</w:t>
      </w:r>
    </w:p>
    <w:p w:rsidR="00C95488" w:rsidRPr="00E052B6" w:rsidRDefault="00E052B6" w:rsidP="00C95488">
      <w:pPr>
        <w:pStyle w:val="ConsPlusNormal"/>
        <w:widowControl/>
        <w:ind w:firstLine="540"/>
        <w:jc w:val="both"/>
      </w:pPr>
      <w:r w:rsidRPr="00E052B6">
        <w:rPr>
          <w:color w:val="2D2D2D"/>
          <w:spacing w:val="2"/>
          <w:shd w:val="clear" w:color="auto" w:fill="FFFFFF"/>
        </w:rPr>
        <w:lastRenderedPageBreak/>
        <w:t xml:space="preserve">г) получение разрешения органа федерального государственного энергетического надзора на допуск в эксплуатацию </w:t>
      </w:r>
      <w:r w:rsidRPr="00E052B6">
        <w:rPr>
          <w:spacing w:val="2"/>
          <w:shd w:val="clear" w:color="auto" w:fill="FFFFFF"/>
        </w:rPr>
        <w:t>объектов заявителя.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w:t>
      </w:r>
      <w:r w:rsidRPr="00E052B6">
        <w:rPr>
          <w:rStyle w:val="apple-converted-space"/>
          <w:spacing w:val="2"/>
          <w:shd w:val="clear" w:color="auto" w:fill="FFFFFF"/>
        </w:rPr>
        <w:t> </w:t>
      </w:r>
      <w:hyperlink r:id="rId7" w:history="1">
        <w:r w:rsidRPr="00E052B6">
          <w:rPr>
            <w:rStyle w:val="a7"/>
            <w:b w:val="0"/>
            <w:color w:val="auto"/>
            <w:spacing w:val="2"/>
            <w:u w:val="none"/>
            <w:shd w:val="clear" w:color="auto" w:fill="FFFFFF"/>
          </w:rPr>
          <w:t>пунктах 12.1</w:t>
        </w:r>
      </w:hyperlink>
      <w:r w:rsidRPr="00E052B6">
        <w:rPr>
          <w:b/>
          <w:spacing w:val="2"/>
          <w:shd w:val="clear" w:color="auto" w:fill="FFFFFF"/>
        </w:rPr>
        <w:t>,</w:t>
      </w:r>
      <w:r w:rsidRPr="00E052B6">
        <w:rPr>
          <w:rStyle w:val="apple-converted-space"/>
          <w:b/>
          <w:spacing w:val="2"/>
          <w:shd w:val="clear" w:color="auto" w:fill="FFFFFF"/>
        </w:rPr>
        <w:t> </w:t>
      </w:r>
      <w:hyperlink r:id="rId8" w:history="1">
        <w:r w:rsidRPr="00E052B6">
          <w:rPr>
            <w:rStyle w:val="a7"/>
            <w:b w:val="0"/>
            <w:color w:val="auto"/>
            <w:spacing w:val="2"/>
            <w:u w:val="none"/>
            <w:shd w:val="clear" w:color="auto" w:fill="FFFFFF"/>
          </w:rPr>
          <w:t>13</w:t>
        </w:r>
      </w:hyperlink>
      <w:r w:rsidRPr="00E052B6">
        <w:rPr>
          <w:rStyle w:val="apple-converted-space"/>
          <w:b/>
          <w:spacing w:val="2"/>
          <w:shd w:val="clear" w:color="auto" w:fill="FFFFFF"/>
        </w:rPr>
        <w:t> </w:t>
      </w:r>
      <w:r w:rsidRPr="00E052B6">
        <w:rPr>
          <w:spacing w:val="2"/>
          <w:shd w:val="clear" w:color="auto" w:fill="FFFFFF"/>
        </w:rPr>
        <w:t>и</w:t>
      </w:r>
      <w:r w:rsidRPr="00E052B6">
        <w:rPr>
          <w:rStyle w:val="apple-converted-space"/>
          <w:b/>
          <w:spacing w:val="2"/>
          <w:shd w:val="clear" w:color="auto" w:fill="FFFFFF"/>
        </w:rPr>
        <w:t> </w:t>
      </w:r>
      <w:hyperlink r:id="rId9" w:history="1">
        <w:r w:rsidRPr="00E052B6">
          <w:rPr>
            <w:rStyle w:val="a7"/>
            <w:b w:val="0"/>
            <w:color w:val="auto"/>
            <w:spacing w:val="2"/>
            <w:u w:val="none"/>
            <w:shd w:val="clear" w:color="auto" w:fill="FFFFFF"/>
          </w:rPr>
          <w:t>14 Правил</w:t>
        </w:r>
      </w:hyperlink>
      <w:r w:rsidRPr="00E052B6">
        <w:rPr>
          <w:b/>
          <w:spacing w:val="2"/>
          <w:shd w:val="clear" w:color="auto" w:fill="FFFFFF"/>
        </w:rPr>
        <w:t xml:space="preserve">, </w:t>
      </w:r>
      <w:r w:rsidRPr="00E052B6">
        <w:rPr>
          <w:spacing w:val="2"/>
          <w:shd w:val="clear" w:color="auto" w:fill="FFFFFF"/>
        </w:rPr>
        <w:t>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w:t>
      </w:r>
      <w:r w:rsidRPr="00E052B6">
        <w:rPr>
          <w:rStyle w:val="apple-converted-space"/>
          <w:spacing w:val="2"/>
          <w:shd w:val="clear" w:color="auto" w:fill="FFFFFF"/>
        </w:rPr>
        <w:t> </w:t>
      </w:r>
      <w:hyperlink r:id="rId10" w:history="1">
        <w:r w:rsidRPr="00E052B6">
          <w:rPr>
            <w:rStyle w:val="a7"/>
            <w:b w:val="0"/>
            <w:color w:val="auto"/>
            <w:spacing w:val="2"/>
            <w:u w:val="none"/>
            <w:shd w:val="clear" w:color="auto" w:fill="FFFFFF"/>
          </w:rPr>
          <w:t>пунктов 18.1</w:t>
        </w:r>
      </w:hyperlink>
      <w:r w:rsidRPr="00E052B6">
        <w:rPr>
          <w:spacing w:val="2"/>
          <w:shd w:val="clear" w:color="auto" w:fill="FFFFFF"/>
        </w:rPr>
        <w:t>-</w:t>
      </w:r>
      <w:hyperlink r:id="rId11" w:history="1">
        <w:r w:rsidRPr="00E052B6">
          <w:rPr>
            <w:rStyle w:val="a7"/>
            <w:b w:val="0"/>
            <w:color w:val="auto"/>
            <w:spacing w:val="2"/>
            <w:u w:val="none"/>
            <w:shd w:val="clear" w:color="auto" w:fill="FFFFFF"/>
          </w:rPr>
          <w:t>18.4  Правил</w:t>
        </w:r>
      </w:hyperlink>
      <w:r w:rsidRPr="00E052B6">
        <w:rPr>
          <w:rStyle w:val="apple-converted-space"/>
          <w:spacing w:val="2"/>
          <w:shd w:val="clear" w:color="auto" w:fill="FFFFFF"/>
        </w:rPr>
        <w:t> </w:t>
      </w:r>
      <w:r w:rsidRPr="00E052B6">
        <w:rPr>
          <w:spacing w:val="2"/>
          <w:shd w:val="clear" w:color="auto" w:fill="FFFFFF"/>
        </w:rPr>
        <w:t>не требуется</w:t>
      </w:r>
      <w:r w:rsidR="00C95488" w:rsidRPr="00E052B6">
        <w:t>;</w:t>
      </w:r>
    </w:p>
    <w:p w:rsidR="00C95488" w:rsidRPr="006224E2" w:rsidRDefault="00E052B6" w:rsidP="00C95488">
      <w:pPr>
        <w:pStyle w:val="ConsPlusNormal"/>
        <w:widowControl/>
        <w:ind w:firstLine="540"/>
        <w:jc w:val="both"/>
      </w:pPr>
      <w:r>
        <w:t>д</w:t>
      </w:r>
      <w:r w:rsidR="00C95488" w:rsidRPr="006224E2">
        <w:t>.1)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C95488" w:rsidRPr="00E052B6" w:rsidRDefault="00C95488" w:rsidP="00C95488">
      <w:pPr>
        <w:pStyle w:val="ConsPlusNormal"/>
        <w:widowControl/>
        <w:ind w:firstLine="540"/>
        <w:jc w:val="both"/>
      </w:pPr>
      <w:r w:rsidRPr="006224E2">
        <w:t xml:space="preserve">г.2) фактический прием (подача) напряжения и мощности, осуществляемый путем включения </w:t>
      </w:r>
      <w:r w:rsidRPr="00E052B6">
        <w:t>коммутационного аппарата (фиксация коммутационного аппарата в положении "включено");</w:t>
      </w:r>
    </w:p>
    <w:p w:rsidR="00C95488" w:rsidRPr="00E052B6" w:rsidRDefault="00E052B6" w:rsidP="00C95488">
      <w:pPr>
        <w:pStyle w:val="ConsPlusNormal"/>
        <w:widowControl/>
        <w:ind w:firstLine="540"/>
        <w:jc w:val="both"/>
      </w:pPr>
      <w:r w:rsidRPr="00E052B6">
        <w:t>е</w:t>
      </w:r>
      <w:r w:rsidR="00C95488" w:rsidRPr="00E052B6">
        <w:t xml:space="preserve">) составление акта </w:t>
      </w:r>
      <w:r w:rsidRPr="00E052B6">
        <w:rPr>
          <w:color w:val="2D2D2D"/>
          <w:spacing w:val="2"/>
          <w:shd w:val="clear" w:color="auto" w:fill="FFFFFF"/>
        </w:rPr>
        <w:t>об осуществлении технологического присоединения</w:t>
      </w:r>
      <w:r w:rsidR="00C95488" w:rsidRPr="00E052B6">
        <w:t>, а также акта согласования технологической и (или) аварийной брони (для заявителей, указанных в пункте 14(2) Правил).</w:t>
      </w:r>
    </w:p>
    <w:p w:rsidR="00C95488" w:rsidRDefault="00C95488" w:rsidP="00C95488">
      <w:pPr>
        <w:pStyle w:val="ConsPlusNormal"/>
        <w:widowControl/>
        <w:ind w:firstLine="540"/>
        <w:jc w:val="both"/>
      </w:pPr>
    </w:p>
    <w:p w:rsidR="00C95488" w:rsidRDefault="00C95488" w:rsidP="00C95488">
      <w:pPr>
        <w:pStyle w:val="ConsPlusNormal"/>
        <w:widowControl/>
        <w:ind w:firstLine="540"/>
        <w:jc w:val="both"/>
      </w:pPr>
      <w:r w:rsidRPr="008D7429">
        <w:rPr>
          <w:b/>
        </w:rPr>
        <w:t>Для заключения договора заявитель направляет заявку</w:t>
      </w:r>
      <w:r>
        <w:t xml:space="preserve"> в сетевую организацию, объекты электросетевого хозяйства которой расположены на наименьшем расстоянии от границ участка заявителя.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r w:rsidRPr="00EC4EFE">
        <w:t xml:space="preserve"> </w:t>
      </w:r>
      <w:r>
        <w:t>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95488" w:rsidRDefault="00C95488" w:rsidP="00C95488">
      <w:pPr>
        <w:pStyle w:val="ConsPlusNormal"/>
        <w:widowControl/>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 </w:t>
      </w:r>
    </w:p>
    <w:p w:rsidR="00C95488" w:rsidRPr="00EC4EFE" w:rsidRDefault="00C95488" w:rsidP="00C95488">
      <w:pPr>
        <w:pStyle w:val="ConsPlusNormal"/>
        <w:widowContro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95488" w:rsidRPr="006224E2" w:rsidRDefault="00C95488" w:rsidP="00C95488">
      <w:pPr>
        <w:pStyle w:val="ConsPlusNormal"/>
        <w:widowControl/>
        <w:ind w:firstLine="540"/>
        <w:jc w:val="both"/>
        <w:rPr>
          <w:color w:val="000000"/>
        </w:rPr>
      </w:pPr>
    </w:p>
    <w:p w:rsidR="00C95488" w:rsidRPr="006224E2" w:rsidRDefault="00C95488" w:rsidP="00C95488">
      <w:pPr>
        <w:ind w:firstLine="709"/>
        <w:jc w:val="both"/>
        <w:rPr>
          <w:rFonts w:ascii="Arial" w:hAnsi="Arial" w:cs="Arial"/>
          <w:color w:val="000000"/>
          <w:sz w:val="20"/>
          <w:szCs w:val="20"/>
        </w:rPr>
      </w:pPr>
      <w:r w:rsidRPr="006224E2">
        <w:rPr>
          <w:rFonts w:ascii="Arial" w:hAnsi="Arial" w:cs="Arial"/>
          <w:b/>
          <w:color w:val="000000"/>
          <w:sz w:val="20"/>
          <w:szCs w:val="20"/>
        </w:rPr>
        <w:t>В заявке</w:t>
      </w:r>
      <w:r w:rsidRPr="006224E2">
        <w:rPr>
          <w:rFonts w:ascii="Arial" w:hAnsi="Arial" w:cs="Arial"/>
          <w:color w:val="000000"/>
          <w:sz w:val="20"/>
          <w:szCs w:val="20"/>
        </w:rPr>
        <w:t xml:space="preserve">, направляемой заявителем (за исключением лиц, указанных в пунктах 12 - 14 </w:t>
      </w:r>
      <w:r w:rsidRPr="00B45133">
        <w:rPr>
          <w:rFonts w:ascii="Arial" w:hAnsi="Arial" w:cs="Arial"/>
          <w:sz w:val="20"/>
          <w:szCs w:val="20"/>
        </w:rPr>
        <w:t>Правил), должны быть в зависимости от конкретных условий указаны сведения согласно пункта 9 Правил</w:t>
      </w:r>
      <w:r w:rsidRPr="006224E2">
        <w:rPr>
          <w:rFonts w:ascii="Arial" w:hAnsi="Arial" w:cs="Arial"/>
          <w:color w:val="000000"/>
          <w:sz w:val="20"/>
          <w:szCs w:val="20"/>
        </w:rPr>
        <w:t>:</w:t>
      </w:r>
    </w:p>
    <w:p w:rsidR="00C95488" w:rsidRPr="006224E2" w:rsidRDefault="00C95488" w:rsidP="00C95488">
      <w:pPr>
        <w:pStyle w:val="ConsPlusNormal"/>
        <w:widowControl/>
        <w:ind w:firstLine="540"/>
        <w:jc w:val="both"/>
      </w:pPr>
      <w:r w:rsidRPr="006224E2">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95488" w:rsidRPr="006224E2" w:rsidRDefault="00C95488" w:rsidP="00C95488">
      <w:pPr>
        <w:pStyle w:val="ConsPlusNormal"/>
        <w:widowControl/>
        <w:ind w:firstLine="540"/>
        <w:jc w:val="both"/>
      </w:pPr>
      <w:r w:rsidRPr="006224E2">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95488" w:rsidRPr="006224E2" w:rsidRDefault="00C95488" w:rsidP="00C95488">
      <w:pPr>
        <w:pStyle w:val="ConsPlusNormal"/>
        <w:widowControl/>
        <w:ind w:firstLine="540"/>
        <w:jc w:val="both"/>
      </w:pPr>
      <w:r w:rsidRPr="006224E2">
        <w:t>в) место нахождения заявителя;</w:t>
      </w:r>
    </w:p>
    <w:p w:rsidR="00C95488" w:rsidRPr="006224E2" w:rsidRDefault="00C95488" w:rsidP="00C95488">
      <w:pPr>
        <w:pStyle w:val="ConsPlusNormal"/>
        <w:widowControl/>
        <w:ind w:firstLine="540"/>
        <w:jc w:val="both"/>
      </w:pPr>
      <w:r w:rsidRPr="006224E2">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95488" w:rsidRPr="006224E2" w:rsidRDefault="00C95488" w:rsidP="00C95488">
      <w:pPr>
        <w:pStyle w:val="ConsPlusNormal"/>
        <w:widowControl/>
        <w:ind w:firstLine="540"/>
        <w:jc w:val="both"/>
      </w:pPr>
      <w:r w:rsidRPr="006224E2">
        <w:t>д) количество точек присоединения с указанием технических параметров элементов энергопринимающих устройств;</w:t>
      </w:r>
    </w:p>
    <w:p w:rsidR="00C95488" w:rsidRPr="006224E2" w:rsidRDefault="00C95488" w:rsidP="00C95488">
      <w:pPr>
        <w:pStyle w:val="ConsPlusNormal"/>
        <w:widowControl/>
        <w:ind w:firstLine="540"/>
        <w:jc w:val="both"/>
      </w:pPr>
      <w:r w:rsidRPr="006224E2">
        <w:t>е) заявляем</w:t>
      </w:r>
      <w:r w:rsidR="00E31F7E">
        <w:t>ая категория</w:t>
      </w:r>
      <w:r w:rsidRPr="006224E2">
        <w:t xml:space="preserve"> надежности энергопринимающих устройств;</w:t>
      </w:r>
    </w:p>
    <w:p w:rsidR="00C95488" w:rsidRPr="006224E2" w:rsidRDefault="00C95488" w:rsidP="00C95488">
      <w:pPr>
        <w:pStyle w:val="ConsPlusNormal"/>
        <w:widowControl/>
        <w:ind w:firstLine="540"/>
        <w:jc w:val="both"/>
      </w:pPr>
      <w:r w:rsidRPr="006224E2">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95488" w:rsidRPr="006224E2" w:rsidRDefault="00C95488" w:rsidP="00C95488">
      <w:pPr>
        <w:pStyle w:val="ConsPlusNormal"/>
        <w:widowControl/>
        <w:ind w:firstLine="540"/>
        <w:jc w:val="both"/>
      </w:pPr>
      <w:r w:rsidRPr="006224E2">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95488" w:rsidRPr="006224E2" w:rsidRDefault="00C95488" w:rsidP="00C95488">
      <w:pPr>
        <w:pStyle w:val="ConsPlusNormal"/>
        <w:widowControl/>
        <w:ind w:firstLine="540"/>
        <w:jc w:val="both"/>
      </w:pPr>
      <w:r w:rsidRPr="006224E2">
        <w:t xml:space="preserve">з(1)) необходимость наличия технологической и (или) аварийной брони, определяемой в соответствии с требованиями пункта 14(2) </w:t>
      </w:r>
      <w:r w:rsidRPr="00B45133">
        <w:t>Правил;</w:t>
      </w:r>
    </w:p>
    <w:p w:rsidR="00C95488" w:rsidRPr="006224E2" w:rsidRDefault="00C95488" w:rsidP="00C95488">
      <w:pPr>
        <w:pStyle w:val="ConsPlusNormal"/>
        <w:widowControl/>
        <w:ind w:firstLine="540"/>
        <w:jc w:val="both"/>
      </w:pPr>
      <w:r w:rsidRPr="006224E2">
        <w:t>и) сроки проектирования и поэтапного введения в эксплуатацию энергопринимающих устройств (в том числе по этапам и очередям);</w:t>
      </w:r>
    </w:p>
    <w:p w:rsidR="00C95488" w:rsidRPr="006224E2" w:rsidRDefault="00C95488" w:rsidP="00C95488">
      <w:pPr>
        <w:pStyle w:val="ConsPlusNormal"/>
        <w:widowControl/>
        <w:ind w:firstLine="540"/>
        <w:jc w:val="both"/>
      </w:pPr>
      <w:r w:rsidRPr="006224E2">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C95488" w:rsidRDefault="00C95488" w:rsidP="00C95488">
      <w:pPr>
        <w:pStyle w:val="ConsPlusNormal"/>
        <w:widowControl/>
        <w:ind w:firstLine="540"/>
        <w:jc w:val="both"/>
      </w:pPr>
      <w:r>
        <w:t>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C95488" w:rsidRDefault="00C95488" w:rsidP="00C95488">
      <w:pPr>
        <w:pStyle w:val="ConsPlusNormal"/>
        <w:widowControl/>
        <w:ind w:firstLine="540"/>
        <w:jc w:val="both"/>
      </w:pPr>
      <w:r>
        <w:t>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C95488" w:rsidRPr="006224E2" w:rsidRDefault="00C95488" w:rsidP="00C95488">
      <w:pPr>
        <w:ind w:firstLine="708"/>
        <w:jc w:val="both"/>
        <w:rPr>
          <w:rFonts w:ascii="Arial" w:hAnsi="Arial" w:cs="Arial"/>
          <w:color w:val="000000"/>
          <w:sz w:val="20"/>
          <w:szCs w:val="20"/>
        </w:rPr>
      </w:pPr>
    </w:p>
    <w:p w:rsidR="00C95488" w:rsidRDefault="00C95488" w:rsidP="00C95488">
      <w:pPr>
        <w:ind w:firstLine="709"/>
        <w:jc w:val="both"/>
        <w:rPr>
          <w:rFonts w:ascii="Arial" w:hAnsi="Arial" w:cs="Arial"/>
          <w:color w:val="0000FF"/>
          <w:sz w:val="20"/>
          <w:szCs w:val="20"/>
        </w:rPr>
      </w:pPr>
      <w:r w:rsidRPr="00677D0D">
        <w:rPr>
          <w:rFonts w:ascii="Arial" w:hAnsi="Arial" w:cs="Arial"/>
          <w:b/>
          <w:color w:val="000000"/>
          <w:sz w:val="20"/>
          <w:szCs w:val="20"/>
        </w:rPr>
        <w:t>К заявке прилагаются документы</w:t>
      </w:r>
      <w:r w:rsidRPr="006224E2">
        <w:rPr>
          <w:rFonts w:ascii="Arial" w:hAnsi="Arial" w:cs="Arial"/>
          <w:color w:val="000000"/>
          <w:sz w:val="20"/>
          <w:szCs w:val="20"/>
        </w:rPr>
        <w:t xml:space="preserve"> согласно пункта 10 </w:t>
      </w:r>
      <w:r w:rsidRPr="00B45133">
        <w:rPr>
          <w:rFonts w:ascii="Arial" w:hAnsi="Arial" w:cs="Arial"/>
          <w:sz w:val="20"/>
          <w:szCs w:val="20"/>
        </w:rPr>
        <w:t>Правил:</w:t>
      </w:r>
    </w:p>
    <w:p w:rsidR="00C95488" w:rsidRDefault="00C95488" w:rsidP="00C95488">
      <w:pPr>
        <w:pStyle w:val="ConsPlusNormal"/>
        <w:widowContro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95488" w:rsidRDefault="00C95488" w:rsidP="00C95488">
      <w:pPr>
        <w:pStyle w:val="ConsPlusNormal"/>
        <w:widowContro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95488" w:rsidRDefault="00C95488" w:rsidP="00C95488">
      <w:pPr>
        <w:pStyle w:val="ConsPlusNormal"/>
        <w:widowContro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C95488" w:rsidRDefault="00C95488" w:rsidP="00C95488">
      <w:pPr>
        <w:pStyle w:val="ConsPlusNormal"/>
        <w:widowControl/>
        <w:ind w:firstLine="540"/>
        <w:jc w:val="both"/>
      </w:pPr>
      <w:r>
        <w:t>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C95488" w:rsidRDefault="00C95488" w:rsidP="00C95488">
      <w:pPr>
        <w:pStyle w:val="ConsPlusNormal"/>
        <w:widowControl/>
        <w:ind w:firstLine="540"/>
        <w:jc w:val="both"/>
      </w:pPr>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C95488" w:rsidRPr="006224E2" w:rsidRDefault="00C95488" w:rsidP="00C95488">
      <w:pPr>
        <w:ind w:firstLine="708"/>
        <w:jc w:val="both"/>
        <w:rPr>
          <w:rFonts w:ascii="Arial" w:hAnsi="Arial" w:cs="Arial"/>
          <w:sz w:val="20"/>
          <w:szCs w:val="20"/>
        </w:rPr>
      </w:pPr>
    </w:p>
    <w:p w:rsidR="00C95488" w:rsidRPr="006224E2" w:rsidRDefault="00C95488" w:rsidP="00C95488">
      <w:pPr>
        <w:ind w:firstLine="709"/>
        <w:jc w:val="both"/>
        <w:rPr>
          <w:rFonts w:ascii="Arial" w:hAnsi="Arial" w:cs="Arial"/>
          <w:sz w:val="20"/>
          <w:szCs w:val="20"/>
        </w:rPr>
      </w:pPr>
      <w:r>
        <w:rPr>
          <w:rFonts w:ascii="Arial" w:hAnsi="Arial" w:cs="Arial"/>
          <w:sz w:val="20"/>
          <w:szCs w:val="20"/>
        </w:rPr>
        <w:t xml:space="preserve">В зависимости от конкретных условий, мощности, заявителя содержание направляемой заявки может меняться (пункты </w:t>
      </w:r>
      <w:r w:rsidRPr="006224E2">
        <w:rPr>
          <w:rFonts w:ascii="Arial" w:hAnsi="Arial" w:cs="Arial"/>
          <w:color w:val="000000"/>
          <w:sz w:val="20"/>
          <w:szCs w:val="20"/>
        </w:rPr>
        <w:t xml:space="preserve">12 - 14 </w:t>
      </w:r>
      <w:r w:rsidRPr="00B45133">
        <w:rPr>
          <w:rFonts w:ascii="Arial" w:hAnsi="Arial" w:cs="Arial"/>
          <w:sz w:val="20"/>
          <w:szCs w:val="20"/>
        </w:rPr>
        <w:t>Правил).</w:t>
      </w:r>
    </w:p>
    <w:p w:rsidR="00C95488" w:rsidRPr="006224E2" w:rsidRDefault="00C95488" w:rsidP="00C95488">
      <w:pPr>
        <w:ind w:firstLine="708"/>
        <w:jc w:val="both"/>
        <w:rPr>
          <w:rFonts w:ascii="Arial" w:hAnsi="Arial" w:cs="Arial"/>
          <w:sz w:val="20"/>
          <w:szCs w:val="20"/>
        </w:rPr>
      </w:pPr>
    </w:p>
    <w:p w:rsidR="00C95488" w:rsidRPr="006F14BE" w:rsidRDefault="00C95488" w:rsidP="00C95488">
      <w:pPr>
        <w:ind w:firstLine="708"/>
        <w:jc w:val="both"/>
        <w:rPr>
          <w:rFonts w:ascii="Arial" w:hAnsi="Arial" w:cs="Arial"/>
          <w:sz w:val="20"/>
          <w:szCs w:val="20"/>
        </w:rPr>
      </w:pPr>
      <w:r w:rsidRPr="006F14BE">
        <w:rPr>
          <w:rFonts w:ascii="Arial" w:hAnsi="Arial" w:cs="Arial"/>
          <w:sz w:val="20"/>
          <w:szCs w:val="20"/>
        </w:rPr>
        <w:t xml:space="preserve">Сроки направления Сетевой организацией заявителю для подписания заполненного и подписанного ею проекта договора в 2 экземплярах и технических условий (см. пункт 25 Правил) как неотъемлемого приложения к договору  регулируется пунктом 15 Правил в зависимости от особенностей подключения заявителя. </w:t>
      </w:r>
      <w:r w:rsidRPr="006F14BE">
        <w:rPr>
          <w:rFonts w:ascii="Arial" w:hAnsi="Arial" w:cs="Arial"/>
          <w:b/>
          <w:sz w:val="20"/>
          <w:szCs w:val="20"/>
        </w:rPr>
        <w:t>Типовые формы договоров об осуществлении технологического присоединения</w:t>
      </w:r>
      <w:r w:rsidRPr="006F14BE">
        <w:rPr>
          <w:rFonts w:ascii="Arial" w:hAnsi="Arial" w:cs="Arial"/>
          <w:sz w:val="20"/>
          <w:szCs w:val="20"/>
        </w:rPr>
        <w:t xml:space="preserve"> к электрическим сетям приведены в Приложениях 1-5 Правил.</w:t>
      </w:r>
    </w:p>
    <w:p w:rsidR="00C95488" w:rsidRPr="006F14BE" w:rsidRDefault="00C95488" w:rsidP="00C95488">
      <w:pPr>
        <w:spacing w:after="225"/>
        <w:ind w:firstLine="708"/>
        <w:jc w:val="both"/>
        <w:rPr>
          <w:rFonts w:ascii="Arial" w:hAnsi="Arial" w:cs="Arial"/>
          <w:sz w:val="20"/>
          <w:szCs w:val="20"/>
        </w:rPr>
      </w:pPr>
      <w:r w:rsidRPr="006F14BE">
        <w:rPr>
          <w:rFonts w:ascii="Arial" w:hAnsi="Arial" w:cs="Arial"/>
          <w:sz w:val="20"/>
          <w:szCs w:val="20"/>
        </w:rPr>
        <w:t xml:space="preserve">При необходимости согласования технических условий с системным оператором в случае, предусмотренном </w:t>
      </w:r>
      <w:hyperlink w:anchor="Par872" w:tooltip="Ссылка на текущий документ" w:history="1">
        <w:r w:rsidRPr="006F14BE">
          <w:rPr>
            <w:rFonts w:ascii="Arial" w:hAnsi="Arial" w:cs="Arial"/>
            <w:sz w:val="20"/>
            <w:szCs w:val="20"/>
          </w:rPr>
          <w:t>абзацем четвертым пункта 21</w:t>
        </w:r>
      </w:hyperlink>
      <w:r w:rsidRPr="006F14BE">
        <w:rPr>
          <w:rFonts w:ascii="Arial" w:hAnsi="Arial" w:cs="Arial"/>
          <w:sz w:val="20"/>
          <w:szCs w:val="20"/>
        </w:rPr>
        <w:t xml:space="preserve">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95488" w:rsidRPr="006224E2" w:rsidRDefault="00C95488" w:rsidP="00C95488">
      <w:pPr>
        <w:spacing w:after="225"/>
        <w:ind w:firstLine="708"/>
        <w:jc w:val="both"/>
        <w:rPr>
          <w:rFonts w:ascii="Arial" w:hAnsi="Arial" w:cs="Arial"/>
          <w:color w:val="000000"/>
          <w:sz w:val="20"/>
          <w:szCs w:val="20"/>
        </w:rPr>
      </w:pPr>
      <w:r w:rsidRPr="006F14BE">
        <w:rPr>
          <w:rFonts w:ascii="Arial" w:hAnsi="Arial" w:cs="Arial"/>
          <w:sz w:val="20"/>
          <w:szCs w:val="20"/>
        </w:rPr>
        <w:t>При отсутствии сведений и документов, указанных в пунктах 9, 10 и 12 - 14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r w:rsidRPr="006224E2">
        <w:rPr>
          <w:rFonts w:ascii="Arial" w:hAnsi="Arial" w:cs="Arial"/>
          <w:color w:val="000000"/>
          <w:sz w:val="20"/>
          <w:szCs w:val="20"/>
        </w:rPr>
        <w:t>.</w:t>
      </w:r>
    </w:p>
    <w:p w:rsidR="00C95488" w:rsidRPr="006F14BE" w:rsidRDefault="00C95488" w:rsidP="00C95488">
      <w:pPr>
        <w:ind w:firstLine="708"/>
        <w:jc w:val="both"/>
        <w:rPr>
          <w:rFonts w:ascii="Arial" w:hAnsi="Arial" w:cs="Arial"/>
          <w:sz w:val="20"/>
          <w:szCs w:val="20"/>
        </w:rPr>
      </w:pPr>
      <w:r w:rsidRPr="006224E2">
        <w:rPr>
          <w:rFonts w:ascii="Arial" w:hAnsi="Arial" w:cs="Arial"/>
          <w:color w:val="000000"/>
          <w:sz w:val="20"/>
          <w:szCs w:val="20"/>
        </w:rPr>
        <w:t xml:space="preserve">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w:t>
      </w:r>
      <w:r w:rsidRPr="006F14BE">
        <w:rPr>
          <w:rFonts w:ascii="Arial" w:hAnsi="Arial" w:cs="Arial"/>
          <w:sz w:val="20"/>
          <w:szCs w:val="20"/>
        </w:rPr>
        <w:t>лица, подписавшего такой договор</w:t>
      </w:r>
    </w:p>
    <w:p w:rsidR="00C95488" w:rsidRDefault="00C95488" w:rsidP="00C95488">
      <w:pPr>
        <w:ind w:firstLine="708"/>
        <w:jc w:val="both"/>
        <w:rPr>
          <w:rFonts w:ascii="Arial" w:hAnsi="Arial" w:cs="Arial"/>
          <w:sz w:val="20"/>
          <w:szCs w:val="20"/>
        </w:rPr>
      </w:pPr>
      <w:r w:rsidRPr="006F14BE">
        <w:rPr>
          <w:rFonts w:ascii="Arial" w:hAnsi="Arial" w:cs="Arial"/>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p>
    <w:p w:rsidR="00C95488" w:rsidRPr="006F14BE" w:rsidRDefault="00C95488" w:rsidP="00C95488">
      <w:pPr>
        <w:ind w:firstLine="708"/>
        <w:jc w:val="both"/>
        <w:rPr>
          <w:rFonts w:ascii="Arial" w:hAnsi="Arial" w:cs="Arial"/>
          <w:sz w:val="20"/>
          <w:szCs w:val="20"/>
        </w:rPr>
      </w:pPr>
      <w:r w:rsidRPr="006F14BE">
        <w:rPr>
          <w:rFonts w:ascii="Arial" w:hAnsi="Arial" w:cs="Arial"/>
          <w:sz w:val="20"/>
          <w:szCs w:val="20"/>
        </w:rPr>
        <w:t>Указанный мотивированный отказ направляется заявителем в сетевую организацию заказным письмом с уведомлением</w:t>
      </w:r>
      <w:r w:rsidRPr="006F14BE">
        <w:rPr>
          <w:rFonts w:ascii="Arial" w:hAnsi="Arial" w:cs="Arial"/>
          <w:sz w:val="22"/>
          <w:szCs w:val="20"/>
        </w:rPr>
        <w:t xml:space="preserve"> </w:t>
      </w:r>
      <w:r w:rsidRPr="006F14BE">
        <w:rPr>
          <w:rFonts w:ascii="Arial" w:hAnsi="Arial" w:cs="Arial"/>
          <w:sz w:val="20"/>
          <w:szCs w:val="20"/>
        </w:rPr>
        <w:t>о вручении.</w:t>
      </w:r>
    </w:p>
    <w:p w:rsidR="00C95488" w:rsidRPr="003363C2" w:rsidRDefault="00C95488" w:rsidP="00C95488">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95488" w:rsidRDefault="00C95488" w:rsidP="00C95488">
      <w:pPr>
        <w:ind w:firstLine="708"/>
        <w:jc w:val="both"/>
        <w:rPr>
          <w:rFonts w:ascii="Arial" w:hAnsi="Arial" w:cs="Arial"/>
          <w:color w:val="000000"/>
          <w:sz w:val="20"/>
          <w:szCs w:val="20"/>
        </w:rPr>
      </w:pPr>
      <w:r w:rsidRPr="001A2D25">
        <w:rPr>
          <w:rFonts w:ascii="Arial" w:hAnsi="Arial" w:cs="Arial"/>
          <w:color w:val="000000"/>
          <w:sz w:val="20"/>
          <w:szCs w:val="20"/>
        </w:rPr>
        <w:t>Договор считается заключенным с даты поступления подписанного заявителем экземпляра договора в сетевую организацию</w:t>
      </w:r>
      <w:r>
        <w:rPr>
          <w:rFonts w:ascii="Arial" w:hAnsi="Arial" w:cs="Arial"/>
          <w:color w:val="000000"/>
          <w:sz w:val="20"/>
          <w:szCs w:val="20"/>
        </w:rPr>
        <w:t xml:space="preserve"> (пункт 15 </w:t>
      </w:r>
      <w:r w:rsidRPr="00B45133">
        <w:rPr>
          <w:rFonts w:ascii="Arial" w:hAnsi="Arial" w:cs="Arial"/>
          <w:sz w:val="20"/>
          <w:szCs w:val="20"/>
        </w:rPr>
        <w:t>Правил).</w:t>
      </w:r>
    </w:p>
    <w:p w:rsidR="00C95488" w:rsidRDefault="00C95488" w:rsidP="00C95488">
      <w:pPr>
        <w:pStyle w:val="ConsPlusNormal"/>
        <w:widowControl/>
        <w:ind w:firstLine="540"/>
        <w:jc w:val="both"/>
      </w:pPr>
      <w:r w:rsidRPr="006E35A9">
        <w:rPr>
          <w:b/>
        </w:rPr>
        <w:t>Договор должен содержать</w:t>
      </w:r>
      <w:r>
        <w:t xml:space="preserve"> следующие существенные условия (пункт 16 </w:t>
      </w:r>
      <w:r w:rsidRPr="00B45133">
        <w:t>Правил):</w:t>
      </w:r>
    </w:p>
    <w:p w:rsidR="00C95488" w:rsidRDefault="00C95488" w:rsidP="00C95488">
      <w:pPr>
        <w:pStyle w:val="ConsPlusNormal"/>
        <w:widowContro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95488" w:rsidRDefault="00C95488" w:rsidP="00C95488">
      <w:pPr>
        <w:pStyle w:val="ConsPlusNormal"/>
        <w:widowControl/>
        <w:ind w:firstLine="540"/>
        <w:jc w:val="both"/>
      </w:pPr>
      <w:r>
        <w:t>б) срок осуществления мероприятий по технологическому присоединению;</w:t>
      </w:r>
    </w:p>
    <w:p w:rsidR="00C95488" w:rsidRDefault="00C95488" w:rsidP="00C95488">
      <w:pPr>
        <w:pStyle w:val="ConsPlusNormal"/>
        <w:widowContro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95488" w:rsidRDefault="00C95488" w:rsidP="00C95488">
      <w:pPr>
        <w:pStyle w:val="ConsPlusNormal"/>
        <w:widowContro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95488" w:rsidRDefault="00C95488" w:rsidP="00C95488">
      <w:pPr>
        <w:pStyle w:val="ConsPlusNormal"/>
        <w:widowControl/>
        <w:ind w:firstLine="540"/>
        <w:jc w:val="both"/>
      </w:pPr>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C95488" w:rsidRDefault="00C95488" w:rsidP="00C95488">
      <w:pPr>
        <w:pStyle w:val="ConsPlusNormal"/>
        <w:widowControl/>
        <w:ind w:firstLine="540"/>
        <w:jc w:val="both"/>
      </w:pPr>
      <w:r>
        <w:t>г) порядок разграничения балансовой принадлежности электрических сетей и эксплуатационной ответственности сторон;</w:t>
      </w:r>
    </w:p>
    <w:p w:rsidR="00C95488" w:rsidRDefault="00C95488" w:rsidP="00C95488">
      <w:pPr>
        <w:pStyle w:val="ConsPlusNormal"/>
        <w:widowControl/>
        <w:ind w:firstLine="540"/>
        <w:jc w:val="both"/>
      </w:pPr>
      <w: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w:t>
      </w:r>
    </w:p>
    <w:p w:rsidR="00C95488" w:rsidRDefault="00C95488" w:rsidP="00C95488">
      <w:pPr>
        <w:pStyle w:val="ConsPlusNormal"/>
        <w:widowControl/>
        <w:ind w:firstLine="540"/>
        <w:jc w:val="both"/>
      </w:pPr>
      <w:r>
        <w:t>е) порядок и сроки внесения заявителем платы за технологическое присоединение.</w:t>
      </w:r>
    </w:p>
    <w:p w:rsidR="00C95488" w:rsidRPr="006224E2" w:rsidRDefault="00C95488" w:rsidP="00C95488">
      <w:pPr>
        <w:ind w:firstLine="708"/>
        <w:jc w:val="both"/>
        <w:rPr>
          <w:rFonts w:ascii="Arial" w:hAnsi="Arial" w:cs="Arial"/>
          <w:color w:val="000000"/>
          <w:sz w:val="20"/>
          <w:szCs w:val="20"/>
        </w:rPr>
      </w:pPr>
    </w:p>
    <w:p w:rsidR="00C95488" w:rsidRDefault="00C95488" w:rsidP="00C95488">
      <w:pPr>
        <w:pStyle w:val="ConsPlusNormal"/>
        <w:widowControl/>
        <w:ind w:firstLine="540"/>
        <w:jc w:val="both"/>
      </w:pPr>
      <w:r w:rsidRPr="006E35A9">
        <w:rPr>
          <w:b/>
        </w:rPr>
        <w:t>Мероприятия по технологическому присоединению</w:t>
      </w:r>
      <w:r>
        <w:t xml:space="preserve"> включают в себя (пункт 18 </w:t>
      </w:r>
      <w:r w:rsidRPr="00B45133">
        <w:t>Правил):</w:t>
      </w:r>
    </w:p>
    <w:p w:rsidR="00C95488" w:rsidRDefault="00C95488" w:rsidP="00C95488">
      <w:pPr>
        <w:pStyle w:val="ConsPlusNormal"/>
        <w:widowContro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95488" w:rsidRDefault="00C95488" w:rsidP="00C95488">
      <w:pPr>
        <w:pStyle w:val="ConsPlusNormal"/>
        <w:widowContro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95488" w:rsidRDefault="00C95488" w:rsidP="00C95488">
      <w:pPr>
        <w:pStyle w:val="ConsPlusNormal"/>
        <w:widowControl/>
        <w:ind w:firstLine="540"/>
        <w:jc w:val="both"/>
      </w:pPr>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95488" w:rsidRDefault="00C95488" w:rsidP="00C95488">
      <w:pPr>
        <w:pStyle w:val="ConsPlusNormal"/>
        <w:widowContro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C95488" w:rsidRDefault="00C95488" w:rsidP="00C95488">
      <w:pPr>
        <w:pStyle w:val="ConsPlusNormal"/>
        <w:widowControl/>
        <w:ind w:firstLine="540"/>
        <w:jc w:val="both"/>
      </w:pPr>
      <w:r>
        <w:t xml:space="preserve">д) проверку выполнения заявителем и сетевой организацией технических условий в соответствии </w:t>
      </w:r>
      <w:r w:rsidRPr="006F14BE">
        <w:t xml:space="preserve">с </w:t>
      </w:r>
      <w:hyperlink w:anchor="Par1290" w:tooltip="Ссылка на текущий документ" w:history="1">
        <w:r w:rsidRPr="006F14BE">
          <w:t>разделом IX</w:t>
        </w:r>
      </w:hyperlink>
      <w:r w:rsidRPr="006F14BE">
        <w:t xml:space="preserve"> Правил, а также</w:t>
      </w:r>
      <w:r>
        <w:t xml:space="preserve">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C95488" w:rsidRPr="006F14BE" w:rsidRDefault="00C95488" w:rsidP="00C95488">
      <w:pPr>
        <w:pStyle w:val="ConsPlusNormal"/>
        <w:widowControl/>
        <w:ind w:firstLine="540"/>
        <w:jc w:val="both"/>
      </w:pPr>
      <w:r w:rsidRPr="006F14BE">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tooltip="Ссылка на текущий документ" w:history="1">
        <w:r w:rsidRPr="006F14BE">
          <w:t>пункте 12</w:t>
        </w:r>
      </w:hyperlink>
      <w:r w:rsidRPr="006F14BE">
        <w:t xml:space="preserve">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1" w:tooltip="Ссылка на текущий документ" w:history="1">
        <w:r w:rsidRPr="006F14BE">
          <w:t>пунктах 12(1)</w:t>
        </w:r>
      </w:hyperlink>
      <w:r w:rsidRPr="006F14BE">
        <w:t xml:space="preserve">, </w:t>
      </w:r>
      <w:hyperlink w:anchor="Par743" w:tooltip="Ссылка на текущий документ" w:history="1">
        <w:r w:rsidRPr="006F14BE">
          <w:t>13</w:t>
        </w:r>
      </w:hyperlink>
      <w:r w:rsidRPr="006F14BE">
        <w:t xml:space="preserve"> и </w:t>
      </w:r>
      <w:hyperlink w:anchor="Par752" w:tooltip="Ссылка на текущий документ" w:history="1">
        <w:r w:rsidRPr="006F14BE">
          <w:t>14</w:t>
        </w:r>
      </w:hyperlink>
      <w:r w:rsidRPr="006F14BE">
        <w:t xml:space="preserve"> Правил), с выдачей заявителю акта осмотра (обследования) электроустановки по форме согласно </w:t>
      </w:r>
      <w:hyperlink w:anchor="Par3198" w:tooltip="Ссылка на текущий документ" w:history="1">
        <w:r w:rsidRPr="006F14BE">
          <w:t>приложению N 9</w:t>
        </w:r>
      </w:hyperlink>
      <w:r w:rsidRPr="006F14BE">
        <w:t xml:space="preserve"> (далее - акт осмотра (обследования) электроустановки);</w:t>
      </w:r>
    </w:p>
    <w:p w:rsidR="00C95488" w:rsidRDefault="00C95488" w:rsidP="00C95488">
      <w:pPr>
        <w:pStyle w:val="ConsPlusNormal"/>
        <w:widowContro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95488" w:rsidRPr="006F14BE"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По окончании осуществления мероприятий по технологическому присоединению стороны составляют следующие документы:</w:t>
      </w:r>
    </w:p>
    <w:p w:rsidR="00C95488" w:rsidRPr="006F14BE" w:rsidRDefault="00C95488" w:rsidP="00C95488">
      <w:pPr>
        <w:pStyle w:val="ConsPlusNormal"/>
        <w:ind w:firstLine="540"/>
        <w:jc w:val="both"/>
      </w:pPr>
      <w:r w:rsidRPr="006F14BE">
        <w:t>акт об осуществлении технологического присоединения;</w:t>
      </w:r>
    </w:p>
    <w:p w:rsidR="00C95488" w:rsidRPr="006F14BE" w:rsidRDefault="00C95488" w:rsidP="00C95488">
      <w:pPr>
        <w:pStyle w:val="ConsPlusNormal"/>
        <w:widowControl/>
        <w:ind w:firstLine="540"/>
        <w:jc w:val="both"/>
      </w:pPr>
      <w:r w:rsidRPr="006F14BE">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tooltip="Ссылка на текущий документ" w:history="1">
        <w:r w:rsidRPr="006F14BE">
          <w:t>пунктом 14(2)</w:t>
        </w:r>
      </w:hyperlink>
      <w:r w:rsidRPr="006F14BE">
        <w:t xml:space="preserve"> Правил (пункт 19 Правил).</w:t>
      </w:r>
    </w:p>
    <w:p w:rsidR="00C95488"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 xml:space="preserve">Сетевая организация не позднее 2 рабочих дней со дня подписания заявителем и сетевой организацией акта об осуществлении </w:t>
      </w:r>
      <w:r w:rsidR="007138D3">
        <w:t>технологического присоединения</w:t>
      </w:r>
      <w:r w:rsidRPr="006F14BE">
        <w:t xml:space="preserve">, а также акта согласования технологической и (или) аварийной брони (для заявителей, указанных в </w:t>
      </w:r>
      <w:hyperlink w:anchor="Par768" w:tooltip="Ссылка на текущий документ" w:history="1">
        <w:r w:rsidRPr="006F14BE">
          <w:t>пункте 14(2)</w:t>
        </w:r>
      </w:hyperlink>
      <w:r w:rsidRPr="006F14BE">
        <w:t xml:space="preserve">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95488" w:rsidRPr="006F14BE" w:rsidRDefault="00C95488" w:rsidP="00C95488">
      <w:pPr>
        <w:pStyle w:val="ConsPlusNormal"/>
        <w:widowControl/>
        <w:ind w:firstLine="540"/>
        <w:jc w:val="both"/>
      </w:pPr>
      <w:r w:rsidRPr="006F14BE">
        <w:t>Подлежащие в соответствии с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rPr>
          <w:b/>
        </w:rPr>
      </w:pPr>
      <w:r w:rsidRPr="006F14BE">
        <w:rPr>
          <w:b/>
        </w:rPr>
        <w:t>Технические условия.</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Срок действия технических условий не может составлять менее 2 лет и более 5 лет.</w:t>
      </w:r>
    </w:p>
    <w:p w:rsidR="00C95488" w:rsidRPr="006F14BE" w:rsidRDefault="00C95488" w:rsidP="00C95488">
      <w:pPr>
        <w:pStyle w:val="ConsPlusNormal"/>
        <w:widowControl/>
        <w:ind w:firstLine="540"/>
        <w:jc w:val="both"/>
      </w:pPr>
      <w:r w:rsidRPr="006F14BE">
        <w:t>В случаях если технические условия в соответствии с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 xml:space="preserve">В технических условиях для заявителей, за исключением лиц, указанных в </w:t>
      </w:r>
      <w:hyperlink w:anchor="Par731" w:tooltip="Ссылка на текущий документ" w:history="1">
        <w:r w:rsidRPr="006F14BE">
          <w:t>пунктах 12.1</w:t>
        </w:r>
      </w:hyperlink>
      <w:r w:rsidRPr="006F14BE">
        <w:t xml:space="preserve"> и </w:t>
      </w:r>
      <w:hyperlink w:anchor="Par752" w:tooltip="Ссылка на текущий документ" w:history="1">
        <w:r w:rsidRPr="006F14BE">
          <w:t>14</w:t>
        </w:r>
      </w:hyperlink>
      <w:r w:rsidRPr="006F14BE">
        <w:t xml:space="preserve"> Правил, должны быть указаны (пункт 25 Правил):</w:t>
      </w:r>
    </w:p>
    <w:p w:rsidR="00C95488" w:rsidRPr="006F14BE" w:rsidRDefault="00C95488" w:rsidP="00C95488">
      <w:pPr>
        <w:pStyle w:val="ConsPlusNormal"/>
        <w:ind w:firstLine="540"/>
        <w:jc w:val="both"/>
      </w:pPr>
      <w:r w:rsidRPr="006F14BE">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95488" w:rsidRPr="006F14BE" w:rsidRDefault="00C95488" w:rsidP="00C95488">
      <w:pPr>
        <w:pStyle w:val="ConsPlusNormal"/>
        <w:ind w:firstLine="540"/>
        <w:jc w:val="both"/>
      </w:pPr>
      <w:r w:rsidRPr="006F14BE">
        <w:t>а(1)) максимальная мощность в соответствии с заявкой и ее распределение по каждой точке присоединения к объектам электросетевого хозяйства;</w:t>
      </w:r>
    </w:p>
    <w:p w:rsidR="00C95488" w:rsidRPr="006F14BE" w:rsidRDefault="00C95488" w:rsidP="00C95488">
      <w:pPr>
        <w:pStyle w:val="ConsPlusNormal"/>
        <w:ind w:firstLine="540"/>
        <w:jc w:val="both"/>
      </w:pPr>
      <w:r w:rsidRPr="006F14BE">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95488" w:rsidRPr="006F14BE" w:rsidRDefault="00C95488" w:rsidP="00C95488">
      <w:pPr>
        <w:pStyle w:val="ConsPlusNormal"/>
        <w:ind w:firstLine="540"/>
        <w:jc w:val="both"/>
      </w:pPr>
      <w:r w:rsidRPr="006F14BE">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95488" w:rsidRPr="006F14BE" w:rsidRDefault="00C95488" w:rsidP="00C95488">
      <w:pPr>
        <w:pStyle w:val="ConsPlusNormal"/>
        <w:ind w:firstLine="540"/>
        <w:jc w:val="both"/>
      </w:pPr>
      <w:bookmarkStart w:id="0" w:name="Par965"/>
      <w:bookmarkEnd w:id="0"/>
      <w:r w:rsidRPr="006F14BE">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95488" w:rsidRPr="006F14BE" w:rsidRDefault="00C95488" w:rsidP="00C95488">
      <w:pPr>
        <w:pStyle w:val="ConsPlusNormal"/>
        <w:ind w:firstLine="540"/>
        <w:jc w:val="both"/>
      </w:pPr>
      <w:r w:rsidRPr="006F14BE">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95488" w:rsidRPr="006F14BE" w:rsidRDefault="00C95488" w:rsidP="00C95488">
      <w:pPr>
        <w:pStyle w:val="ConsPlusNormal"/>
        <w:ind w:firstLine="540"/>
        <w:jc w:val="both"/>
      </w:pPr>
      <w:bookmarkStart w:id="1" w:name="Par968"/>
      <w:bookmarkEnd w:id="1"/>
      <w:r w:rsidRPr="006F14BE">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95488" w:rsidRPr="006F14BE" w:rsidRDefault="00C95488" w:rsidP="00C95488">
      <w:pPr>
        <w:pStyle w:val="ConsPlusNormal"/>
        <w:ind w:firstLine="540"/>
        <w:jc w:val="both"/>
      </w:pPr>
      <w:r w:rsidRPr="006F14BE">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tooltip="Ссылка на текущий документ" w:history="1">
        <w:r w:rsidRPr="006F14BE">
          <w:t>пунктом 53</w:t>
        </w:r>
      </w:hyperlink>
      <w:r w:rsidRPr="006F14BE">
        <w:t xml:space="preserve"> Правил.</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 xml:space="preserve">Требования, указанные в </w:t>
      </w:r>
      <w:hyperlink w:anchor="Par965" w:tooltip="Ссылка на текущий документ" w:history="1">
        <w:r w:rsidRPr="006F14BE">
          <w:t>подпунктах "в"</w:t>
        </w:r>
      </w:hyperlink>
      <w:r w:rsidRPr="006F14BE">
        <w:t xml:space="preserve"> - </w:t>
      </w:r>
      <w:hyperlink w:anchor="Par968" w:tooltip="Ссылка на текущий документ" w:history="1">
        <w:r w:rsidRPr="006F14BE">
          <w:t>"д" пункта 25</w:t>
        </w:r>
      </w:hyperlink>
      <w:r w:rsidRPr="006F14BE">
        <w:t xml:space="preserve">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95488" w:rsidRPr="006F14BE" w:rsidRDefault="00C95488" w:rsidP="00C95488">
      <w:pPr>
        <w:pStyle w:val="ConsPlusNormal"/>
        <w:widowControl/>
        <w:ind w:firstLine="540"/>
        <w:jc w:val="both"/>
      </w:pPr>
      <w:r w:rsidRPr="006F14BE">
        <w:t xml:space="preserve">Требования, предъявляемые к приборам учета электрической энергии и мощности (активной и реактивной) в соответствии с </w:t>
      </w:r>
      <w:hyperlink w:anchor="Par956" w:tooltip="Ссылка на текущий документ" w:history="1">
        <w:r w:rsidRPr="006F14BE">
          <w:t>пунктами 25</w:t>
        </w:r>
      </w:hyperlink>
      <w:r w:rsidRPr="006F14BE">
        <w:t xml:space="preserve"> и </w:t>
      </w:r>
      <w:hyperlink w:anchor="Par971" w:tooltip="Ссылка на текущий документ" w:history="1">
        <w:r w:rsidRPr="006F14BE">
          <w:t>25(1)</w:t>
        </w:r>
      </w:hyperlink>
      <w:r w:rsidRPr="006F14BE">
        <w:t xml:space="preserve">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95488" w:rsidRPr="006F14BE"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95488" w:rsidRPr="006F14BE" w:rsidRDefault="00C95488" w:rsidP="00C95488">
      <w:pPr>
        <w:pStyle w:val="ConsPlusNormal"/>
        <w:ind w:firstLine="540"/>
        <w:jc w:val="both"/>
      </w:pPr>
      <w:r w:rsidRPr="006F14BE">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95488" w:rsidRPr="006F14BE" w:rsidRDefault="00C95488" w:rsidP="00C95488"/>
    <w:p w:rsidR="00F23EEF" w:rsidRDefault="00F23EEF" w:rsidP="0064749E">
      <w:pPr>
        <w:jc w:val="center"/>
        <w:rPr>
          <w:b/>
          <w:i/>
        </w:rPr>
      </w:pPr>
    </w:p>
    <w:p w:rsidR="00424085" w:rsidRDefault="00424085" w:rsidP="00424085">
      <w:pPr>
        <w:jc w:val="center"/>
      </w:pPr>
    </w:p>
    <w:p w:rsidR="00B952C2" w:rsidRDefault="00B952C2" w:rsidP="00424085">
      <w:pPr>
        <w:jc w:val="center"/>
      </w:pPr>
    </w:p>
    <w:p w:rsidR="00B952C2" w:rsidRDefault="00B952C2" w:rsidP="00424085">
      <w:pPr>
        <w:jc w:val="center"/>
      </w:pPr>
    </w:p>
    <w:p w:rsidR="00B952C2" w:rsidRDefault="00B952C2" w:rsidP="00424085">
      <w:pPr>
        <w:jc w:val="center"/>
      </w:pPr>
    </w:p>
    <w:p w:rsidR="00B952C2" w:rsidRDefault="00B952C2" w:rsidP="00D73003"/>
    <w:p w:rsidR="00B952C2" w:rsidRDefault="00B952C2" w:rsidP="00424085">
      <w:pPr>
        <w:jc w:val="center"/>
      </w:pPr>
    </w:p>
    <w:p w:rsidR="00B952C2" w:rsidRDefault="00B952C2" w:rsidP="00424085">
      <w:pPr>
        <w:jc w:val="center"/>
      </w:pPr>
    </w:p>
    <w:p w:rsidR="00B952C2" w:rsidRPr="0056678D" w:rsidRDefault="00B952C2" w:rsidP="00424085">
      <w:pPr>
        <w:jc w:val="center"/>
      </w:pPr>
    </w:p>
    <w:p w:rsidR="00424085" w:rsidRPr="0056678D" w:rsidRDefault="00424085" w:rsidP="00424085">
      <w:pPr>
        <w:jc w:val="center"/>
      </w:pPr>
    </w:p>
    <w:p w:rsidR="00424085" w:rsidRPr="0056678D" w:rsidRDefault="00424085" w:rsidP="00424085">
      <w:pPr>
        <w:jc w:val="center"/>
      </w:pPr>
    </w:p>
    <w:p w:rsidR="00424085" w:rsidRPr="0056678D" w:rsidRDefault="00424085" w:rsidP="00424085">
      <w:pPr>
        <w:jc w:val="cente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952C2" w:rsidRPr="0061685B" w:rsidTr="0061685B">
        <w:tc>
          <w:tcPr>
            <w:tcW w:w="3600" w:type="dxa"/>
          </w:tcPr>
          <w:p w:rsidR="00B952C2" w:rsidRPr="0061685B" w:rsidRDefault="00B952C2" w:rsidP="0061685B">
            <w:pPr>
              <w:jc w:val="right"/>
              <w:rPr>
                <w:b/>
                <w:u w:val="single"/>
              </w:rPr>
            </w:pPr>
            <w:r w:rsidRPr="0061685B">
              <w:rPr>
                <w:sz w:val="20"/>
                <w:szCs w:val="20"/>
              </w:rPr>
              <w:t>Основание для размещения:</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b/>
                <w:u w:val="single"/>
              </w:rPr>
            </w:pPr>
            <w:r w:rsidRPr="0061685B">
              <w:rPr>
                <w:sz w:val="20"/>
                <w:szCs w:val="20"/>
              </w:rPr>
              <w:t xml:space="preserve">Пост. Пр-ва от 21.01.2004 № 24, п. 11 </w:t>
            </w:r>
            <w:r w:rsidR="00DB3E50" w:rsidRPr="0061685B">
              <w:rPr>
                <w:sz w:val="20"/>
                <w:szCs w:val="20"/>
              </w:rPr>
              <w:t>е</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Статус информации: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«фактическая»</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Срок хранения в архиве организации: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3 года (Приказ ФАС от 22.01.2010 № 27)</w:t>
            </w:r>
          </w:p>
        </w:tc>
      </w:tr>
    </w:tbl>
    <w:p w:rsidR="00AD1C58" w:rsidRDefault="00AD1C58" w:rsidP="00F23EEF">
      <w:pPr>
        <w:jc w:val="center"/>
        <w:rPr>
          <w:b/>
          <w:u w:val="single"/>
        </w:rPr>
      </w:pPr>
    </w:p>
    <w:p w:rsidR="00AD1C58" w:rsidRDefault="00AD1C58" w:rsidP="00F23EEF">
      <w:pPr>
        <w:jc w:val="center"/>
        <w:rPr>
          <w:b/>
          <w:u w:val="single"/>
        </w:rPr>
      </w:pPr>
    </w:p>
    <w:sectPr w:rsidR="00AD1C58" w:rsidSect="00451531">
      <w:headerReference w:type="default" r:id="rId12"/>
      <w:footerReference w:type="default" r:id="rId13"/>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80" w:rsidRDefault="00F12680">
      <w:r>
        <w:separator/>
      </w:r>
    </w:p>
  </w:endnote>
  <w:endnote w:type="continuationSeparator" w:id="0">
    <w:p w:rsidR="00F12680" w:rsidRDefault="00F12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2" w:rsidRPr="00B36FCE" w:rsidRDefault="00821A70">
    <w:pPr>
      <w:pStyle w:val="a5"/>
      <w:rPr>
        <w:sz w:val="16"/>
        <w:szCs w:val="16"/>
      </w:rPr>
    </w:pPr>
    <w:r>
      <w:rPr>
        <w:sz w:val="16"/>
        <w:szCs w:val="16"/>
      </w:rPr>
      <w:t>Форма 1.8</w:t>
    </w:r>
    <w:r w:rsidR="00632172" w:rsidRPr="00B36FCE">
      <w:rPr>
        <w:sz w:val="16"/>
        <w:szCs w:val="16"/>
      </w:rPr>
      <w:tab/>
    </w:r>
    <w:r w:rsidR="00632172" w:rsidRPr="00B36FCE">
      <w:rPr>
        <w:sz w:val="16"/>
        <w:szCs w:val="16"/>
      </w:rPr>
      <w:tab/>
      <w:t xml:space="preserve">Страница </w:t>
    </w:r>
    <w:r w:rsidR="00274A21" w:rsidRPr="00B36FCE">
      <w:rPr>
        <w:rStyle w:val="a6"/>
        <w:sz w:val="16"/>
        <w:szCs w:val="16"/>
      </w:rPr>
      <w:fldChar w:fldCharType="begin"/>
    </w:r>
    <w:r w:rsidR="00632172" w:rsidRPr="00B36FCE">
      <w:rPr>
        <w:rStyle w:val="a6"/>
        <w:sz w:val="16"/>
        <w:szCs w:val="16"/>
      </w:rPr>
      <w:instrText xml:space="preserve"> PAGE </w:instrText>
    </w:r>
    <w:r w:rsidR="00274A21" w:rsidRPr="00B36FCE">
      <w:rPr>
        <w:rStyle w:val="a6"/>
        <w:sz w:val="16"/>
        <w:szCs w:val="16"/>
      </w:rPr>
      <w:fldChar w:fldCharType="separate"/>
    </w:r>
    <w:r w:rsidR="00F12680">
      <w:rPr>
        <w:rStyle w:val="a6"/>
        <w:noProof/>
        <w:sz w:val="16"/>
        <w:szCs w:val="16"/>
      </w:rPr>
      <w:t>1</w:t>
    </w:r>
    <w:r w:rsidR="00274A21" w:rsidRPr="00B36FCE">
      <w:rPr>
        <w:rStyle w:val="a6"/>
        <w:sz w:val="16"/>
        <w:szCs w:val="16"/>
      </w:rPr>
      <w:fldChar w:fldCharType="end"/>
    </w:r>
    <w:r w:rsidR="00632172" w:rsidRPr="00B36FCE">
      <w:rPr>
        <w:rStyle w:val="a6"/>
        <w:sz w:val="16"/>
        <w:szCs w:val="16"/>
      </w:rPr>
      <w:t xml:space="preserve"> из </w:t>
    </w:r>
    <w:r w:rsidR="00274A21" w:rsidRPr="00B36FCE">
      <w:rPr>
        <w:rStyle w:val="a6"/>
        <w:sz w:val="16"/>
        <w:szCs w:val="16"/>
      </w:rPr>
      <w:fldChar w:fldCharType="begin"/>
    </w:r>
    <w:r w:rsidR="00632172" w:rsidRPr="00B36FCE">
      <w:rPr>
        <w:rStyle w:val="a6"/>
        <w:sz w:val="16"/>
        <w:szCs w:val="16"/>
      </w:rPr>
      <w:instrText xml:space="preserve"> NUMPAGES </w:instrText>
    </w:r>
    <w:r w:rsidR="00274A21" w:rsidRPr="00B36FCE">
      <w:rPr>
        <w:rStyle w:val="a6"/>
        <w:sz w:val="16"/>
        <w:szCs w:val="16"/>
      </w:rPr>
      <w:fldChar w:fldCharType="separate"/>
    </w:r>
    <w:r w:rsidR="00F12680">
      <w:rPr>
        <w:rStyle w:val="a6"/>
        <w:noProof/>
        <w:sz w:val="16"/>
        <w:szCs w:val="16"/>
      </w:rPr>
      <w:t>1</w:t>
    </w:r>
    <w:r w:rsidR="00274A21" w:rsidRPr="00B36FC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80" w:rsidRDefault="00F12680">
      <w:r>
        <w:separator/>
      </w:r>
    </w:p>
  </w:footnote>
  <w:footnote w:type="continuationSeparator" w:id="0">
    <w:p w:rsidR="00F12680" w:rsidRDefault="00F12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2" w:rsidRDefault="00632172" w:rsidP="009C20D3">
    <w:pPr>
      <w:jc w:val="center"/>
      <w:outlineLvl w:val="0"/>
      <w:rPr>
        <w:b/>
      </w:rPr>
    </w:pPr>
    <w:r w:rsidRPr="009C20D3">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632172" w:rsidRDefault="0063217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1"/>
    <w:footnote w:id="0"/>
  </w:footnotePr>
  <w:endnotePr>
    <w:endnote w:id="-1"/>
    <w:endnote w:id="0"/>
  </w:endnotePr>
  <w:compat/>
  <w:rsids>
    <w:rsidRoot w:val="0064749E"/>
    <w:rsid w:val="001E2632"/>
    <w:rsid w:val="00201403"/>
    <w:rsid w:val="00244A94"/>
    <w:rsid w:val="002457C0"/>
    <w:rsid w:val="00260A41"/>
    <w:rsid w:val="00274A21"/>
    <w:rsid w:val="0032556C"/>
    <w:rsid w:val="00391690"/>
    <w:rsid w:val="003A10F2"/>
    <w:rsid w:val="00424085"/>
    <w:rsid w:val="00451531"/>
    <w:rsid w:val="00527E0A"/>
    <w:rsid w:val="0056678D"/>
    <w:rsid w:val="0058728A"/>
    <w:rsid w:val="005D2BAD"/>
    <w:rsid w:val="005F00A0"/>
    <w:rsid w:val="0061685B"/>
    <w:rsid w:val="006302C4"/>
    <w:rsid w:val="00632172"/>
    <w:rsid w:val="0064749E"/>
    <w:rsid w:val="007138D3"/>
    <w:rsid w:val="007B017A"/>
    <w:rsid w:val="007C469E"/>
    <w:rsid w:val="00821A70"/>
    <w:rsid w:val="00846278"/>
    <w:rsid w:val="008A0045"/>
    <w:rsid w:val="008D2F82"/>
    <w:rsid w:val="008D35F8"/>
    <w:rsid w:val="009722BB"/>
    <w:rsid w:val="009C20D3"/>
    <w:rsid w:val="009F6E96"/>
    <w:rsid w:val="00A03C07"/>
    <w:rsid w:val="00A30CD8"/>
    <w:rsid w:val="00AD1C58"/>
    <w:rsid w:val="00B36FCE"/>
    <w:rsid w:val="00B937BD"/>
    <w:rsid w:val="00B952C2"/>
    <w:rsid w:val="00C2009F"/>
    <w:rsid w:val="00C50BCE"/>
    <w:rsid w:val="00C7164F"/>
    <w:rsid w:val="00C95488"/>
    <w:rsid w:val="00CF0370"/>
    <w:rsid w:val="00D73003"/>
    <w:rsid w:val="00D924A5"/>
    <w:rsid w:val="00DB3E50"/>
    <w:rsid w:val="00DF17A3"/>
    <w:rsid w:val="00E03F30"/>
    <w:rsid w:val="00E052B6"/>
    <w:rsid w:val="00E31F7E"/>
    <w:rsid w:val="00E75994"/>
    <w:rsid w:val="00EC083A"/>
    <w:rsid w:val="00F01CD5"/>
    <w:rsid w:val="00F12680"/>
    <w:rsid w:val="00F23EEF"/>
    <w:rsid w:val="00F67769"/>
    <w:rsid w:val="00F93399"/>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7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36FCE"/>
    <w:pPr>
      <w:tabs>
        <w:tab w:val="center" w:pos="4677"/>
        <w:tab w:val="right" w:pos="9355"/>
      </w:tabs>
    </w:pPr>
  </w:style>
  <w:style w:type="paragraph" w:styleId="a5">
    <w:name w:val="footer"/>
    <w:basedOn w:val="a"/>
    <w:rsid w:val="00B36FCE"/>
    <w:pPr>
      <w:tabs>
        <w:tab w:val="center" w:pos="4677"/>
        <w:tab w:val="right" w:pos="9355"/>
      </w:tabs>
    </w:pPr>
  </w:style>
  <w:style w:type="character" w:styleId="a6">
    <w:name w:val="page number"/>
    <w:basedOn w:val="a0"/>
    <w:rsid w:val="00B36FCE"/>
  </w:style>
  <w:style w:type="character" w:styleId="a7">
    <w:name w:val="Hyperlink"/>
    <w:basedOn w:val="a0"/>
    <w:uiPriority w:val="99"/>
    <w:unhideWhenUsed/>
    <w:rsid w:val="00C95488"/>
    <w:rPr>
      <w:b/>
      <w:bCs/>
      <w:color w:val="000000"/>
      <w:u w:val="single"/>
    </w:rPr>
  </w:style>
  <w:style w:type="paragraph" w:customStyle="1" w:styleId="ConsPlusNormal">
    <w:name w:val="ConsPlusNormal"/>
    <w:rsid w:val="00C95488"/>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E052B6"/>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20676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55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91955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195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551" TargetMode="External"/><Relationship Id="rId4" Type="http://schemas.openxmlformats.org/officeDocument/2006/relationships/webSettings" Target="webSettings.xml"/><Relationship Id="rId9" Type="http://schemas.openxmlformats.org/officeDocument/2006/relationships/hyperlink" Target="http://docs.cntd.ru/document/9019195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3641-B028-4455-96B6-FC33D86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4346</Words>
  <Characters>24778</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Приложение № 8 к форме 1</vt:lpstr>
      <vt:lpstr>Форма 1.8</vt:lpstr>
      <vt:lpstr>Сроки опубликования: ежегодно, до 1 марта</vt:lpstr>
      <vt:lpstr/>
      <vt:lpstr>    Технологическое присоединение и типовые договора об осуществлении технологическо</vt:lpstr>
    </vt:vector>
  </TitlesOfParts>
  <Company>MoBIL GROUP</Company>
  <LinksUpToDate>false</LinksUpToDate>
  <CharactersWithSpaces>29066</CharactersWithSpaces>
  <SharedDoc>false</SharedDoc>
  <HLinks>
    <vt:vector size="120" baseType="variant">
      <vt:variant>
        <vt:i4>6881333</vt:i4>
      </vt:variant>
      <vt:variant>
        <vt:i4>57</vt:i4>
      </vt:variant>
      <vt:variant>
        <vt:i4>0</vt:i4>
      </vt:variant>
      <vt:variant>
        <vt:i4>5</vt:i4>
      </vt:variant>
      <vt:variant>
        <vt:lpwstr/>
      </vt:variant>
      <vt:variant>
        <vt:lpwstr>Par971</vt:lpwstr>
      </vt:variant>
      <vt:variant>
        <vt:i4>7209015</vt:i4>
      </vt:variant>
      <vt:variant>
        <vt:i4>54</vt:i4>
      </vt:variant>
      <vt:variant>
        <vt:i4>0</vt:i4>
      </vt:variant>
      <vt:variant>
        <vt:i4>5</vt:i4>
      </vt:variant>
      <vt:variant>
        <vt:lpwstr/>
      </vt:variant>
      <vt:variant>
        <vt:lpwstr>Par956</vt:lpwstr>
      </vt:variant>
      <vt:variant>
        <vt:i4>6291508</vt:i4>
      </vt:variant>
      <vt:variant>
        <vt:i4>51</vt:i4>
      </vt:variant>
      <vt:variant>
        <vt:i4>0</vt:i4>
      </vt:variant>
      <vt:variant>
        <vt:i4>5</vt:i4>
      </vt:variant>
      <vt:variant>
        <vt:lpwstr/>
      </vt:variant>
      <vt:variant>
        <vt:lpwstr>Par968</vt:lpwstr>
      </vt:variant>
      <vt:variant>
        <vt:i4>7143476</vt:i4>
      </vt:variant>
      <vt:variant>
        <vt:i4>48</vt:i4>
      </vt:variant>
      <vt:variant>
        <vt:i4>0</vt:i4>
      </vt:variant>
      <vt:variant>
        <vt:i4>5</vt:i4>
      </vt:variant>
      <vt:variant>
        <vt:lpwstr/>
      </vt:variant>
      <vt:variant>
        <vt:lpwstr>Par965</vt:lpwstr>
      </vt:variant>
      <vt:variant>
        <vt:i4>6881331</vt:i4>
      </vt:variant>
      <vt:variant>
        <vt:i4>45</vt:i4>
      </vt:variant>
      <vt:variant>
        <vt:i4>0</vt:i4>
      </vt:variant>
      <vt:variant>
        <vt:i4>5</vt:i4>
      </vt:variant>
      <vt:variant>
        <vt:lpwstr/>
      </vt:variant>
      <vt:variant>
        <vt:lpwstr>Par1196</vt:lpwstr>
      </vt:variant>
      <vt:variant>
        <vt:i4>6553655</vt:i4>
      </vt:variant>
      <vt:variant>
        <vt:i4>42</vt:i4>
      </vt:variant>
      <vt:variant>
        <vt:i4>0</vt:i4>
      </vt:variant>
      <vt:variant>
        <vt:i4>5</vt:i4>
      </vt:variant>
      <vt:variant>
        <vt:lpwstr/>
      </vt:variant>
      <vt:variant>
        <vt:lpwstr>Par752</vt:lpwstr>
      </vt:variant>
      <vt:variant>
        <vt:i4>6750257</vt:i4>
      </vt:variant>
      <vt:variant>
        <vt:i4>39</vt:i4>
      </vt:variant>
      <vt:variant>
        <vt:i4>0</vt:i4>
      </vt:variant>
      <vt:variant>
        <vt:i4>5</vt:i4>
      </vt:variant>
      <vt:variant>
        <vt:lpwstr/>
      </vt:variant>
      <vt:variant>
        <vt:lpwstr>Par731</vt:lpwstr>
      </vt:variant>
      <vt:variant>
        <vt:i4>7209012</vt:i4>
      </vt:variant>
      <vt:variant>
        <vt:i4>36</vt:i4>
      </vt:variant>
      <vt:variant>
        <vt:i4>0</vt:i4>
      </vt:variant>
      <vt:variant>
        <vt:i4>5</vt:i4>
      </vt:variant>
      <vt:variant>
        <vt:lpwstr/>
      </vt:variant>
      <vt:variant>
        <vt:lpwstr>Par768</vt:lpwstr>
      </vt:variant>
      <vt:variant>
        <vt:i4>7209012</vt:i4>
      </vt:variant>
      <vt:variant>
        <vt:i4>33</vt:i4>
      </vt:variant>
      <vt:variant>
        <vt:i4>0</vt:i4>
      </vt:variant>
      <vt:variant>
        <vt:i4>5</vt:i4>
      </vt:variant>
      <vt:variant>
        <vt:lpwstr/>
      </vt:variant>
      <vt:variant>
        <vt:lpwstr>Par768</vt:lpwstr>
      </vt:variant>
      <vt:variant>
        <vt:i4>7012403</vt:i4>
      </vt:variant>
      <vt:variant>
        <vt:i4>30</vt:i4>
      </vt:variant>
      <vt:variant>
        <vt:i4>0</vt:i4>
      </vt:variant>
      <vt:variant>
        <vt:i4>5</vt:i4>
      </vt:variant>
      <vt:variant>
        <vt:lpwstr/>
      </vt:variant>
      <vt:variant>
        <vt:lpwstr>Par3198</vt:lpwstr>
      </vt:variant>
      <vt:variant>
        <vt:i4>6553655</vt:i4>
      </vt:variant>
      <vt:variant>
        <vt:i4>27</vt:i4>
      </vt:variant>
      <vt:variant>
        <vt:i4>0</vt:i4>
      </vt:variant>
      <vt:variant>
        <vt:i4>5</vt:i4>
      </vt:variant>
      <vt:variant>
        <vt:lpwstr/>
      </vt:variant>
      <vt:variant>
        <vt:lpwstr>Par752</vt:lpwstr>
      </vt:variant>
      <vt:variant>
        <vt:i4>6619190</vt:i4>
      </vt:variant>
      <vt:variant>
        <vt:i4>24</vt:i4>
      </vt:variant>
      <vt:variant>
        <vt:i4>0</vt:i4>
      </vt:variant>
      <vt:variant>
        <vt:i4>5</vt:i4>
      </vt:variant>
      <vt:variant>
        <vt:lpwstr/>
      </vt:variant>
      <vt:variant>
        <vt:lpwstr>Par743</vt:lpwstr>
      </vt:variant>
      <vt:variant>
        <vt:i4>6750257</vt:i4>
      </vt:variant>
      <vt:variant>
        <vt:i4>21</vt:i4>
      </vt:variant>
      <vt:variant>
        <vt:i4>0</vt:i4>
      </vt:variant>
      <vt:variant>
        <vt:i4>5</vt:i4>
      </vt:variant>
      <vt:variant>
        <vt:lpwstr/>
      </vt:variant>
      <vt:variant>
        <vt:lpwstr>Par731</vt:lpwstr>
      </vt:variant>
      <vt:variant>
        <vt:i4>6422576</vt:i4>
      </vt:variant>
      <vt:variant>
        <vt:i4>18</vt:i4>
      </vt:variant>
      <vt:variant>
        <vt:i4>0</vt:i4>
      </vt:variant>
      <vt:variant>
        <vt:i4>5</vt:i4>
      </vt:variant>
      <vt:variant>
        <vt:lpwstr/>
      </vt:variant>
      <vt:variant>
        <vt:lpwstr>Par724</vt:lpwstr>
      </vt:variant>
      <vt:variant>
        <vt:i4>6881328</vt:i4>
      </vt:variant>
      <vt:variant>
        <vt:i4>15</vt:i4>
      </vt:variant>
      <vt:variant>
        <vt:i4>0</vt:i4>
      </vt:variant>
      <vt:variant>
        <vt:i4>5</vt:i4>
      </vt:variant>
      <vt:variant>
        <vt:lpwstr/>
      </vt:variant>
      <vt:variant>
        <vt:lpwstr>Par1290</vt:lpwstr>
      </vt:variant>
      <vt:variant>
        <vt:i4>7012405</vt:i4>
      </vt:variant>
      <vt:variant>
        <vt:i4>12</vt:i4>
      </vt:variant>
      <vt:variant>
        <vt:i4>0</vt:i4>
      </vt:variant>
      <vt:variant>
        <vt:i4>5</vt:i4>
      </vt:variant>
      <vt:variant>
        <vt:lpwstr/>
      </vt:variant>
      <vt:variant>
        <vt:lpwstr>Par872</vt:lpwstr>
      </vt:variant>
      <vt:variant>
        <vt:i4>6684726</vt:i4>
      </vt:variant>
      <vt:variant>
        <vt:i4>9</vt:i4>
      </vt:variant>
      <vt:variant>
        <vt:i4>0</vt:i4>
      </vt:variant>
      <vt:variant>
        <vt:i4>5</vt:i4>
      </vt:variant>
      <vt:variant>
        <vt:lpwstr/>
      </vt:variant>
      <vt:variant>
        <vt:lpwstr>Par740</vt:lpwstr>
      </vt:variant>
      <vt:variant>
        <vt:i4>7209008</vt:i4>
      </vt:variant>
      <vt:variant>
        <vt:i4>6</vt:i4>
      </vt:variant>
      <vt:variant>
        <vt:i4>0</vt:i4>
      </vt:variant>
      <vt:variant>
        <vt:i4>5</vt:i4>
      </vt:variant>
      <vt:variant>
        <vt:lpwstr/>
      </vt:variant>
      <vt:variant>
        <vt:lpwstr>Par728</vt:lpwstr>
      </vt:variant>
      <vt:variant>
        <vt:i4>6422579</vt:i4>
      </vt:variant>
      <vt:variant>
        <vt:i4>3</vt:i4>
      </vt:variant>
      <vt:variant>
        <vt:i4>0</vt:i4>
      </vt:variant>
      <vt:variant>
        <vt:i4>5</vt:i4>
      </vt:variant>
      <vt:variant>
        <vt:lpwstr/>
      </vt:variant>
      <vt:variant>
        <vt:lpwstr>Par714</vt:lpwstr>
      </vt:variant>
      <vt:variant>
        <vt:i4>6291506</vt:i4>
      </vt:variant>
      <vt:variant>
        <vt:i4>0</vt:i4>
      </vt:variant>
      <vt:variant>
        <vt:i4>0</vt:i4>
      </vt:variant>
      <vt:variant>
        <vt:i4>5</vt:i4>
      </vt:variant>
      <vt:variant>
        <vt:lpwstr/>
      </vt:variant>
      <vt:variant>
        <vt:lpwstr>Par706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 к форме 1</dc:title>
  <cp:lastModifiedBy>manager1</cp:lastModifiedBy>
  <cp:revision>6</cp:revision>
  <dcterms:created xsi:type="dcterms:W3CDTF">2017-05-30T08:55:00Z</dcterms:created>
  <dcterms:modified xsi:type="dcterms:W3CDTF">2018-02-14T09:11:00Z</dcterms:modified>
</cp:coreProperties>
</file>