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4438" w14:textId="77777777"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14:paraId="50F6EC35" w14:textId="77777777"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Look w:val="01E0" w:firstRow="1" w:lastRow="1" w:firstColumn="1" w:lastColumn="1" w:noHBand="0" w:noVBand="0"/>
      </w:tblPr>
      <w:tblGrid>
        <w:gridCol w:w="8663"/>
      </w:tblGrid>
      <w:tr w:rsidR="009722BB" w:rsidRPr="000F42E5" w14:paraId="4BC28D44" w14:textId="77777777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14:paraId="1B853C48" w14:textId="77777777"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F42E5" w14:paraId="17D90D1B" w14:textId="77777777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14:paraId="2D1A8922" w14:textId="77777777"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14:paraId="762DA573" w14:textId="77777777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14:paraId="0508386E" w14:textId="77777777"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14:paraId="2A662BF4" w14:textId="77777777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14:paraId="068D0321" w14:textId="77777777"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14:paraId="672A6659" w14:textId="77777777" w:rsidR="0064749E" w:rsidRDefault="0064749E" w:rsidP="00B32D98"/>
    <w:p w14:paraId="0A37501D" w14:textId="77777777"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F14BF3" w:rsidRPr="000F42E5" w14:paraId="0835E61B" w14:textId="77777777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14:paraId="1D84325F" w14:textId="77777777"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14:paraId="5DAB6C7B" w14:textId="77777777"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960"/>
        <w:gridCol w:w="3060"/>
      </w:tblGrid>
      <w:tr w:rsidR="00B37E71" w:rsidRPr="000F42E5" w14:paraId="481C24D8" w14:textId="77777777" w:rsidTr="52CCD31A">
        <w:tc>
          <w:tcPr>
            <w:tcW w:w="1440" w:type="dxa"/>
            <w:vMerge w:val="restart"/>
            <w:vAlign w:val="center"/>
          </w:tcPr>
          <w:p w14:paraId="16D93E33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14:paraId="68B72DD0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14:paraId="02EB378F" w14:textId="77777777"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14:paraId="447F90BD" w14:textId="77777777" w:rsidTr="52CCD31A">
        <w:tc>
          <w:tcPr>
            <w:tcW w:w="1440" w:type="dxa"/>
            <w:vMerge/>
            <w:vAlign w:val="center"/>
          </w:tcPr>
          <w:p w14:paraId="6A05A809" w14:textId="77777777"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4AC3BDF" w14:textId="77777777"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14:paraId="37F5D7CA" w14:textId="77777777"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B37E71" w:rsidRPr="000F42E5" w14:paraId="31C6D58F" w14:textId="77777777" w:rsidTr="52CCD31A">
        <w:tc>
          <w:tcPr>
            <w:tcW w:w="5400" w:type="dxa"/>
            <w:gridSpan w:val="2"/>
            <w:shd w:val="clear" w:color="auto" w:fill="auto"/>
            <w:vAlign w:val="center"/>
          </w:tcPr>
          <w:p w14:paraId="7C562E48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14:paraId="16FA5543" w14:textId="0D1EBF39" w:rsidR="00B37E71" w:rsidRPr="006E1151" w:rsidRDefault="00585F3E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>.02</w:t>
            </w:r>
            <w:r w:rsidR="52CCD31A" w:rsidRPr="52CCD31A">
              <w:rPr>
                <w:sz w:val="20"/>
                <w:szCs w:val="20"/>
              </w:rPr>
              <w:t>.202</w:t>
            </w:r>
            <w:r w:rsidR="008B7B63">
              <w:rPr>
                <w:sz w:val="20"/>
                <w:szCs w:val="20"/>
              </w:rPr>
              <w:t>2</w:t>
            </w:r>
          </w:p>
        </w:tc>
      </w:tr>
      <w:tr w:rsidR="00B37E71" w:rsidRPr="000F42E5" w14:paraId="00BB34B5" w14:textId="77777777" w:rsidTr="52CCD31A">
        <w:tc>
          <w:tcPr>
            <w:tcW w:w="5400" w:type="dxa"/>
            <w:gridSpan w:val="2"/>
            <w:shd w:val="clear" w:color="auto" w:fill="auto"/>
            <w:vAlign w:val="center"/>
          </w:tcPr>
          <w:p w14:paraId="42039B7C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14:paraId="5FEC834C" w14:textId="4901B8F2" w:rsidR="00B37E71" w:rsidRPr="000F42E5" w:rsidRDefault="008B7B63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52CCD31A" w:rsidRPr="52CCD31A">
              <w:rPr>
                <w:sz w:val="20"/>
                <w:szCs w:val="20"/>
              </w:rPr>
              <w:t xml:space="preserve"> год</w:t>
            </w:r>
          </w:p>
        </w:tc>
      </w:tr>
    </w:tbl>
    <w:p w14:paraId="5A39BBE3" w14:textId="77777777" w:rsidR="00B37E71" w:rsidRDefault="00B37E71" w:rsidP="00B32D98">
      <w:pPr>
        <w:rPr>
          <w:b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673"/>
        <w:gridCol w:w="1129"/>
        <w:gridCol w:w="1217"/>
        <w:gridCol w:w="859"/>
        <w:gridCol w:w="1217"/>
        <w:gridCol w:w="859"/>
        <w:gridCol w:w="3578"/>
        <w:gridCol w:w="5408"/>
      </w:tblGrid>
      <w:tr w:rsidR="003F4834" w14:paraId="23676D76" w14:textId="77777777" w:rsidTr="52CCD31A">
        <w:trPr>
          <w:trHeight w:val="4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50F" w14:textId="77777777"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  <w:p w14:paraId="41C8F396" w14:textId="77777777"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5BE6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14:paraId="72A3D3EC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5DA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D6C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05A3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2727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14:paraId="0D0B940D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14:paraId="34E4249F" w14:textId="77777777" w:rsidTr="52CCD31A">
        <w:trPr>
          <w:trHeight w:val="240"/>
        </w:trPr>
        <w:tc>
          <w:tcPr>
            <w:tcW w:w="673" w:type="dxa"/>
            <w:vMerge/>
            <w:noWrap/>
            <w:vAlign w:val="bottom"/>
          </w:tcPr>
          <w:p w14:paraId="0E27B00A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14:paraId="60061E4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7A6644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E40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7A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93B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578" w:type="dxa"/>
            <w:vMerge/>
          </w:tcPr>
          <w:p w14:paraId="44EAFD9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noWrap/>
            <w:vAlign w:val="bottom"/>
          </w:tcPr>
          <w:p w14:paraId="4B94D5A5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14:paraId="0ADDFDF6" w14:textId="77777777" w:rsidTr="52CCD31A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1BE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99B5" w14:textId="77777777"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208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296D14" w14:paraId="218DB293" w14:textId="77777777" w:rsidTr="52CCD31A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C669" w14:textId="10741FC3" w:rsidR="00296D14" w:rsidRPr="006C1878" w:rsidRDefault="52CCD31A" w:rsidP="00296D14">
            <w:pPr>
              <w:jc w:val="center"/>
              <w:rPr>
                <w:sz w:val="22"/>
                <w:szCs w:val="22"/>
                <w:lang w:val="en-US"/>
              </w:rPr>
            </w:pPr>
            <w:r w:rsidRPr="006C18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9AB" w14:textId="1613B66D" w:rsidR="00296D14" w:rsidRPr="006C1878" w:rsidRDefault="008B7B63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9808E7"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19040FAA" w:rsidR="00296D14" w:rsidRPr="006C1878" w:rsidRDefault="008B7B63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="002D353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4A0240E1" w:rsidR="00296D14" w:rsidRPr="006C1878" w:rsidRDefault="008B7B63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D35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4D6ECF9B" w:rsidR="00296D14" w:rsidRPr="006C1878" w:rsidRDefault="008B7B63" w:rsidP="00296D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25.01.2021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8965C35" w:rsidR="00296D14" w:rsidRPr="006C1878" w:rsidRDefault="008B7B63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D35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808E7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FD3" w14:textId="6517B843" w:rsidR="00296D14" w:rsidRPr="006C1878" w:rsidRDefault="006C1878" w:rsidP="00296D14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</w:t>
            </w:r>
            <w:r w:rsidR="009808E7" w:rsidRPr="006C1878">
              <w:rPr>
                <w:color w:val="000000"/>
                <w:sz w:val="22"/>
                <w:szCs w:val="22"/>
                <w:shd w:val="clear" w:color="auto" w:fill="FFFFFF"/>
              </w:rPr>
              <w:t>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36AA3AE8" w:rsidR="00296D14" w:rsidRPr="00895AAE" w:rsidRDefault="002651C6" w:rsidP="002651C6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="006C1878" w:rsidRPr="00895AAE">
              <w:rPr>
                <w:sz w:val="22"/>
                <w:szCs w:val="22"/>
                <w:shd w:val="clear" w:color="auto" w:fill="FFFFFF"/>
              </w:rPr>
              <w:t xml:space="preserve">оздание наиболее надежной послеаварийной схемы </w:t>
            </w:r>
            <w:r w:rsidRPr="00895AAE">
              <w:rPr>
                <w:sz w:val="22"/>
                <w:szCs w:val="22"/>
                <w:shd w:val="clear" w:color="auto" w:fill="FFFFFF"/>
              </w:rPr>
              <w:t>электроснабжения</w:t>
            </w:r>
          </w:p>
        </w:tc>
      </w:tr>
      <w:tr w:rsidR="008B7B63" w:rsidRPr="00895AAE" w14:paraId="5F3247C8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7ED6" w14:textId="3F233853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B64D" w14:textId="05A18CB6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AA8" w14:textId="10EB93F4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AFA" w14:textId="32066297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849" w14:textId="33A8D215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C97" w14:textId="68984466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B7B63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F0E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B988" w14:textId="4A02142C" w:rsidR="008B7B63" w:rsidRPr="00895AAE" w:rsidRDefault="008B7B6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  <w:tr w:rsidR="008B7B63" w:rsidRPr="00895AAE" w14:paraId="42A84368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AB9E" w14:textId="3ED8172B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9A8D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802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4D4" w14:textId="066A0EE8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32A" w14:textId="2F98DCA2" w:rsidR="008B7B63" w:rsidRPr="006C1878" w:rsidRDefault="008B7B63" w:rsidP="004951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951D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3F0" w14:textId="06A77E01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B7B63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E213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BC1B" w14:textId="742933D7" w:rsidR="008B7B63" w:rsidRPr="00895AAE" w:rsidRDefault="008B7B6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  <w:tr w:rsidR="008B7B63" w:rsidRPr="00895AAE" w14:paraId="4BDA5A81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4FCD" w14:textId="31454537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3DF8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C68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F67" w14:textId="286430B8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24B" w14:textId="77777777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2D9" w14:textId="6A4C666D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8B7B63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33D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3DED" w14:textId="4DD9C218" w:rsidR="008B7B63" w:rsidRPr="00895AAE" w:rsidRDefault="008B7B6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  <w:tr w:rsidR="008B7B63" w:rsidRPr="00895AAE" w14:paraId="67E8F766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5881" w14:textId="208BB010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219C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1DC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3A4" w14:textId="46BF2D94" w:rsidR="008B7B63" w:rsidRPr="006C1878" w:rsidRDefault="004951D9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F55" w14:textId="77777777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1E8F" w14:textId="26EAF038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401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0553" w14:textId="4C28EC57" w:rsidR="008B7B63" w:rsidRPr="00895AAE" w:rsidRDefault="008B7B6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  <w:tr w:rsidR="008B7B63" w:rsidRPr="00895AAE" w14:paraId="0A6A48EB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11A8" w14:textId="51564A4C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06D6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169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1AD" w14:textId="718B5E32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D19" w14:textId="77777777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3FE" w14:textId="65562045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BAE" w14:textId="54E0E3E5" w:rsidR="008B7B63" w:rsidRPr="006C1878" w:rsidRDefault="00404077" w:rsidP="00635E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Отключение (повреждение) оборудования в смежной электрической сети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2C32" w14:textId="18F7B1EE" w:rsidR="008B7B63" w:rsidRPr="00895AAE" w:rsidRDefault="008B7B63" w:rsidP="00404077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 xml:space="preserve">Проведение внеплановой ревизии токоведущих частей электрических устройств </w:t>
            </w:r>
          </w:p>
        </w:tc>
      </w:tr>
      <w:tr w:rsidR="008B7B63" w:rsidRPr="00895AAE" w14:paraId="57EC9A01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05B3" w14:textId="5FB40660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9240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C25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871" w14:textId="4DB89191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816" w14:textId="46BB6F92" w:rsidR="008B7B63" w:rsidRPr="006C1878" w:rsidRDefault="00B6464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="008B7B63">
              <w:rPr>
                <w:sz w:val="22"/>
                <w:szCs w:val="22"/>
              </w:rPr>
              <w:t>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74E" w14:textId="3F67EBB9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B7B63">
              <w:rPr>
                <w:sz w:val="22"/>
                <w:szCs w:val="22"/>
              </w:rPr>
              <w:t>.1</w:t>
            </w:r>
            <w:r w:rsidR="008B7B63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116" w14:textId="05BB6B30" w:rsidR="008B7B63" w:rsidRPr="006C1878" w:rsidRDefault="00404077" w:rsidP="00635E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Отключение (повреждение) оборудования в смежной электрической сети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554F" w14:textId="211B0B3A" w:rsidR="008B7B63" w:rsidRPr="00895AAE" w:rsidRDefault="008B7B63" w:rsidP="00404077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 xml:space="preserve">Проведение внеплановой ревизии токоведущих частей электрических устройств </w:t>
            </w:r>
          </w:p>
        </w:tc>
      </w:tr>
      <w:tr w:rsidR="008B7B63" w:rsidRPr="00895AAE" w14:paraId="289E40B5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F9C4" w14:textId="3C31E186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CDD0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6D5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427" w14:textId="61B9E932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FCA" w14:textId="77777777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8722" w14:textId="684B5B65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7B63">
              <w:rPr>
                <w:sz w:val="22"/>
                <w:szCs w:val="22"/>
              </w:rPr>
              <w:t>.1</w:t>
            </w:r>
            <w:r w:rsidR="008B7B63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986" w14:textId="24806031" w:rsidR="008B7B63" w:rsidRPr="006C1878" w:rsidRDefault="00404077" w:rsidP="00635E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Отключение (повреждение) оборудования в смежной электрической сети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38CF" w14:textId="2271AF0A" w:rsidR="008B7B63" w:rsidRPr="00895AAE" w:rsidRDefault="008B7B63" w:rsidP="00404077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 xml:space="preserve">Проведение внеплановой ревизии токоведущих частей электрических устройств </w:t>
            </w:r>
          </w:p>
        </w:tc>
      </w:tr>
      <w:tr w:rsidR="008B7B63" w:rsidRPr="00895AAE" w14:paraId="0B0C0C7D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A5F9" w14:textId="593532BA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E964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A69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A7D3" w14:textId="18D0E186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7B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8B7B63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941" w14:textId="4EE371AA" w:rsidR="008B7B63" w:rsidRPr="006C1878" w:rsidRDefault="00B6464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="008B7B63">
              <w:rPr>
                <w:sz w:val="22"/>
                <w:szCs w:val="22"/>
              </w:rPr>
              <w:t>.06.2021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2956" w14:textId="2229728C" w:rsidR="008B7B6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7B63">
              <w:rPr>
                <w:sz w:val="22"/>
                <w:szCs w:val="22"/>
              </w:rPr>
              <w:t>.1</w:t>
            </w:r>
            <w:r w:rsidR="008B7B63"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992" w14:textId="7AB5C824" w:rsidR="008B7B63" w:rsidRPr="006C1878" w:rsidRDefault="00E20125" w:rsidP="00E201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Отключение (повреждение) оборудования в смежной электрической сети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AD4B" w14:textId="68C70A23" w:rsidR="008B7B63" w:rsidRPr="00895AAE" w:rsidRDefault="008B7B63" w:rsidP="00404077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 xml:space="preserve">Проведение внеплановой ревизии токоведущих частей электрических устройств </w:t>
            </w:r>
          </w:p>
        </w:tc>
      </w:tr>
      <w:tr w:rsidR="008B7B63" w:rsidRPr="00895AAE" w14:paraId="18868719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6B42" w14:textId="1772C0FC" w:rsidR="008B7B63" w:rsidRPr="008B7B63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AAE7" w14:textId="224C61AC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748" w14:textId="03F7F562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D6B" w14:textId="2709D93A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9CE" w14:textId="28E5D531" w:rsidR="008B7B63" w:rsidRPr="006C1878" w:rsidRDefault="008B7B6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10.07.2021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5B2" w14:textId="4B0010C9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0E8" w14:textId="77777777" w:rsidR="008B7B63" w:rsidRPr="006C1878" w:rsidRDefault="008B7B6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45B1" w14:textId="3C2B97C8" w:rsidR="008B7B63" w:rsidRPr="00895AAE" w:rsidRDefault="008B7B6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  <w:tr w:rsidR="00B64643" w:rsidRPr="00895AAE" w14:paraId="13C1F610" w14:textId="77777777" w:rsidTr="00635E5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40C0" w14:textId="71219D05" w:rsidR="00B64643" w:rsidRPr="008B7B63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C73D" w14:textId="77777777" w:rsidR="00B6464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Pr="006C1878">
              <w:rPr>
                <w:sz w:val="22"/>
                <w:szCs w:val="22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F8E" w14:textId="014E39DC" w:rsidR="00B6464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26F9" w14:textId="07EF66EE" w:rsidR="00B6464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FA6" w14:textId="0A3F4D63" w:rsidR="00B64643" w:rsidRPr="006C1878" w:rsidRDefault="00B64643" w:rsidP="00635E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26.07.2021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F0F" w14:textId="55A6D2C1" w:rsidR="00B6464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  <w:r w:rsidRPr="006C1878">
              <w:rPr>
                <w:sz w:val="22"/>
                <w:szCs w:val="22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F2AC" w14:textId="77777777" w:rsidR="00B64643" w:rsidRPr="006C1878" w:rsidRDefault="00B64643" w:rsidP="00635E5D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 оборудования в следствии воздействия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802" w14:textId="7780DC1B" w:rsidR="00B64643" w:rsidRPr="00895AAE" w:rsidRDefault="00B64643" w:rsidP="00635E5D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>Проведение внеплановой ревизии токоведущих частей электрических устройств</w:t>
            </w:r>
            <w:r w:rsidR="00404077">
              <w:rPr>
                <w:sz w:val="22"/>
                <w:szCs w:val="22"/>
                <w:shd w:val="clear" w:color="auto" w:fill="FFFFFF"/>
              </w:rPr>
              <w:t>.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Создание наиболее надежной послеаварийной схемы электроснабжения</w:t>
            </w:r>
          </w:p>
        </w:tc>
      </w:tr>
    </w:tbl>
    <w:p w14:paraId="4B99056E" w14:textId="77777777" w:rsidR="00331CFE" w:rsidRDefault="00331CFE" w:rsidP="00B702CB">
      <w:pPr>
        <w:ind w:left="180"/>
        <w:rPr>
          <w:b/>
          <w:sz w:val="20"/>
          <w:szCs w:val="20"/>
        </w:rPr>
      </w:pPr>
    </w:p>
    <w:p w14:paraId="45F4E7E6" w14:textId="77777777"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14:paraId="1299C43A" w14:textId="77777777" w:rsidR="00424085" w:rsidRDefault="00424085" w:rsidP="0064749E">
      <w:pPr>
        <w:jc w:val="center"/>
        <w:rPr>
          <w:b/>
          <w:i/>
        </w:rPr>
      </w:pPr>
    </w:p>
    <w:p w14:paraId="4DDBEF00" w14:textId="77777777" w:rsidR="00424085" w:rsidRDefault="00424085" w:rsidP="00B32D98"/>
    <w:sectPr w:rsidR="00424085" w:rsidSect="00B32D98">
      <w:headerReference w:type="default" r:id="rId8"/>
      <w:footerReference w:type="default" r:id="rId9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A525E1" w:rsidRDefault="00A525E1">
      <w:r>
        <w:separator/>
      </w:r>
    </w:p>
  </w:endnote>
  <w:endnote w:type="continuationSeparator" w:id="0">
    <w:p w14:paraId="0FB78278" w14:textId="77777777" w:rsidR="00A525E1" w:rsidRDefault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296D14" w:rsidRDefault="00296D14" w:rsidP="00F958CD">
    <w:pPr>
      <w:pStyle w:val="a6"/>
      <w:jc w:val="both"/>
      <w:rPr>
        <w:sz w:val="16"/>
        <w:szCs w:val="16"/>
      </w:rPr>
    </w:pPr>
  </w:p>
  <w:p w14:paraId="22A84D06" w14:textId="32D2381D"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585F3E">
      <w:rPr>
        <w:rStyle w:val="a7"/>
        <w:noProof/>
        <w:sz w:val="16"/>
        <w:szCs w:val="16"/>
      </w:rPr>
      <w:t>2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585F3E">
      <w:rPr>
        <w:rStyle w:val="a7"/>
        <w:noProof/>
        <w:sz w:val="16"/>
        <w:szCs w:val="16"/>
      </w:rPr>
      <w:t>3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A525E1" w:rsidRDefault="00A525E1">
      <w:r>
        <w:separator/>
      </w:r>
    </w:p>
  </w:footnote>
  <w:footnote w:type="continuationSeparator" w:id="0">
    <w:p w14:paraId="0562CB0E" w14:textId="77777777" w:rsidR="00A525E1" w:rsidRDefault="00A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53E7" w14:textId="77777777"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 xml:space="preserve"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</w:t>
    </w:r>
    <w:proofErr w:type="gramStart"/>
    <w:r>
      <w:rPr>
        <w:sz w:val="20"/>
        <w:szCs w:val="20"/>
      </w:rPr>
      <w:t>Федерации  от</w:t>
    </w:r>
    <w:proofErr w:type="gramEnd"/>
    <w:r>
      <w:rPr>
        <w:sz w:val="20"/>
        <w:szCs w:val="20"/>
      </w:rPr>
      <w:t xml:space="preserve"> 21.01.2004 № 24</w:t>
    </w:r>
  </w:p>
  <w:p w14:paraId="3461D779" w14:textId="77777777" w:rsidR="00296D14" w:rsidRDefault="00296D14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D1D12"/>
    <w:rsid w:val="000F42E5"/>
    <w:rsid w:val="00157BCA"/>
    <w:rsid w:val="00197FB1"/>
    <w:rsid w:val="001B6674"/>
    <w:rsid w:val="001F52F7"/>
    <w:rsid w:val="00241954"/>
    <w:rsid w:val="00260A41"/>
    <w:rsid w:val="002651C6"/>
    <w:rsid w:val="002749EC"/>
    <w:rsid w:val="00296D14"/>
    <w:rsid w:val="002D3534"/>
    <w:rsid w:val="002E1E64"/>
    <w:rsid w:val="00307FA3"/>
    <w:rsid w:val="00331CFE"/>
    <w:rsid w:val="00391690"/>
    <w:rsid w:val="003F4834"/>
    <w:rsid w:val="00404077"/>
    <w:rsid w:val="00424085"/>
    <w:rsid w:val="00450A71"/>
    <w:rsid w:val="00451531"/>
    <w:rsid w:val="004951D9"/>
    <w:rsid w:val="004F082E"/>
    <w:rsid w:val="0050070C"/>
    <w:rsid w:val="00515093"/>
    <w:rsid w:val="00585F3E"/>
    <w:rsid w:val="005A3DF5"/>
    <w:rsid w:val="005D2BAD"/>
    <w:rsid w:val="0064749E"/>
    <w:rsid w:val="006C1878"/>
    <w:rsid w:val="006E1151"/>
    <w:rsid w:val="007A3574"/>
    <w:rsid w:val="008752E6"/>
    <w:rsid w:val="00895AAE"/>
    <w:rsid w:val="008A4ED4"/>
    <w:rsid w:val="008B7B63"/>
    <w:rsid w:val="008D35F8"/>
    <w:rsid w:val="00950EE7"/>
    <w:rsid w:val="00955310"/>
    <w:rsid w:val="00960221"/>
    <w:rsid w:val="009722BB"/>
    <w:rsid w:val="009808E7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F1F8C"/>
    <w:rsid w:val="00B15A3A"/>
    <w:rsid w:val="00B17699"/>
    <w:rsid w:val="00B32D98"/>
    <w:rsid w:val="00B37E71"/>
    <w:rsid w:val="00B64643"/>
    <w:rsid w:val="00B702CB"/>
    <w:rsid w:val="00B756EA"/>
    <w:rsid w:val="00B7658D"/>
    <w:rsid w:val="00B97DC2"/>
    <w:rsid w:val="00BE0248"/>
    <w:rsid w:val="00C14379"/>
    <w:rsid w:val="00CF216E"/>
    <w:rsid w:val="00D34685"/>
    <w:rsid w:val="00D60E1A"/>
    <w:rsid w:val="00DB7D3E"/>
    <w:rsid w:val="00DF69FB"/>
    <w:rsid w:val="00E122A9"/>
    <w:rsid w:val="00E20125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  <w:rsid w:val="52CCD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A03D"/>
  <w15:docId w15:val="{6F19010F-F36F-4B56-926F-E45C218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3F24-9AD6-456C-BD87-1E5D233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380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Соловьёв Андрей Викторович</cp:lastModifiedBy>
  <cp:revision>5</cp:revision>
  <cp:lastPrinted>2011-12-02T12:00:00Z</cp:lastPrinted>
  <dcterms:created xsi:type="dcterms:W3CDTF">2022-02-28T14:19:00Z</dcterms:created>
  <dcterms:modified xsi:type="dcterms:W3CDTF">2022-02-28T15:34:00Z</dcterms:modified>
</cp:coreProperties>
</file>