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C3" w:rsidRPr="00C54201" w:rsidRDefault="00073CC3" w:rsidP="00073CC3">
      <w:pPr>
        <w:ind w:right="-122"/>
        <w:jc w:val="center"/>
        <w:rPr>
          <w:b/>
          <w:bCs/>
          <w:lang w:eastAsia="ru-RU"/>
        </w:rPr>
      </w:pPr>
      <w:r w:rsidRPr="00C31150">
        <w:rPr>
          <w:u w:val="single"/>
          <w:lang w:eastAsia="ru-RU"/>
        </w:rPr>
        <w:t>Общество с ограниченной ответственностью " Городская электросетевая компания "</w:t>
      </w:r>
      <w:r w:rsidRPr="00C54201">
        <w:rPr>
          <w:b/>
          <w:bCs/>
        </w:rPr>
        <w:t xml:space="preserve">      </w:t>
      </w:r>
      <w:r w:rsidRPr="00C54201">
        <w:rPr>
          <w:b/>
          <w:bCs/>
          <w:lang w:eastAsia="ru-RU"/>
        </w:rPr>
        <w:t xml:space="preserve">       Форма 8</w:t>
      </w:r>
    </w:p>
    <w:p w:rsidR="00073CC3" w:rsidRPr="00C31150" w:rsidRDefault="00073CC3" w:rsidP="00073CC3">
      <w:pPr>
        <w:widowControl/>
        <w:autoSpaceDE/>
        <w:autoSpaceDN/>
        <w:rPr>
          <w:sz w:val="16"/>
          <w:szCs w:val="16"/>
          <w:lang w:eastAsia="ru-RU"/>
        </w:rPr>
      </w:pPr>
      <w:r w:rsidRPr="00C31150">
        <w:rPr>
          <w:sz w:val="16"/>
          <w:szCs w:val="16"/>
          <w:lang w:eastAsia="ru-RU"/>
        </w:rPr>
        <w:t xml:space="preserve">                                                                     (наименование организации)</w:t>
      </w:r>
    </w:p>
    <w:p w:rsidR="00073CC3" w:rsidRPr="00C31150" w:rsidRDefault="00073CC3" w:rsidP="00073CC3">
      <w:pPr>
        <w:widowControl/>
        <w:autoSpaceDE/>
        <w:autoSpaceDN/>
        <w:jc w:val="center"/>
        <w:rPr>
          <w:sz w:val="16"/>
          <w:szCs w:val="16"/>
          <w:lang w:eastAsia="ru-RU"/>
        </w:rPr>
      </w:pPr>
    </w:p>
    <w:p w:rsidR="00073CC3" w:rsidRPr="00CE1754" w:rsidRDefault="00CE1754" w:rsidP="00CE1754">
      <w:pPr>
        <w:widowControl/>
        <w:autoSpaceDE/>
        <w:autoSpaceDN/>
        <w:rPr>
          <w:b/>
          <w:bCs/>
          <w:lang w:eastAsia="ru-RU"/>
        </w:rPr>
      </w:pPr>
      <w:r>
        <w:rPr>
          <w:u w:val="single"/>
          <w:lang w:eastAsia="ru-RU"/>
        </w:rPr>
        <w:t xml:space="preserve">  </w:t>
      </w:r>
      <w:r w:rsidR="00073CC3" w:rsidRPr="00C31150">
        <w:rPr>
          <w:u w:val="single"/>
          <w:lang w:eastAsia="ru-RU"/>
        </w:rPr>
        <w:t>Россия, 160022, г. Вологда, Пош</w:t>
      </w:r>
      <w:r w:rsidR="00073CC3" w:rsidRPr="00C54201">
        <w:rPr>
          <w:u w:val="single"/>
          <w:lang w:eastAsia="ru-RU"/>
        </w:rPr>
        <w:t>ехонское шоссе, д. 18. офис 201</w:t>
      </w:r>
      <w:r w:rsidR="00073CC3" w:rsidRPr="00C31150">
        <w:rPr>
          <w:b/>
          <w:bCs/>
          <w:sz w:val="19"/>
          <w:szCs w:val="19"/>
          <w:lang w:eastAsia="ru-RU"/>
        </w:rPr>
        <w:t xml:space="preserve">              </w:t>
      </w:r>
      <w:r>
        <w:rPr>
          <w:b/>
          <w:bCs/>
          <w:sz w:val="19"/>
          <w:szCs w:val="19"/>
          <w:lang w:eastAsia="ru-RU"/>
        </w:rPr>
        <w:t xml:space="preserve">          </w:t>
      </w:r>
      <w:r w:rsidR="00073CC3" w:rsidRPr="00C31150">
        <w:rPr>
          <w:b/>
          <w:bCs/>
          <w:sz w:val="19"/>
          <w:szCs w:val="19"/>
          <w:lang w:eastAsia="ru-RU"/>
        </w:rPr>
        <w:t xml:space="preserve"> </w:t>
      </w:r>
      <w:r w:rsidR="00073CC3">
        <w:rPr>
          <w:b/>
          <w:bCs/>
          <w:lang w:eastAsia="ru-RU"/>
        </w:rPr>
        <w:t xml:space="preserve">Сроки </w:t>
      </w:r>
      <w:r w:rsidR="00073CC3" w:rsidRPr="00C31150">
        <w:rPr>
          <w:b/>
          <w:bCs/>
          <w:lang w:eastAsia="ru-RU"/>
        </w:rPr>
        <w:t xml:space="preserve">опубликования: </w:t>
      </w:r>
      <w:r w:rsidR="00073CC3" w:rsidRPr="00C31150">
        <w:rPr>
          <w:b/>
          <w:bCs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</w:t>
      </w:r>
      <w:r w:rsidR="00073CC3" w:rsidRPr="00041AF5">
        <w:rPr>
          <w:b/>
          <w:bCs/>
          <w:sz w:val="19"/>
          <w:szCs w:val="19"/>
          <w:lang w:eastAsia="ru-RU"/>
        </w:rPr>
        <w:t xml:space="preserve">                                                                                                     </w:t>
      </w:r>
      <w:r w:rsidR="00073CC3" w:rsidRPr="00C31150">
        <w:rPr>
          <w:sz w:val="16"/>
          <w:szCs w:val="16"/>
          <w:lang w:eastAsia="ru-RU"/>
        </w:rPr>
        <w:t xml:space="preserve">       </w:t>
      </w:r>
      <w:r w:rsidR="00073CC3" w:rsidRPr="00041AF5">
        <w:rPr>
          <w:sz w:val="16"/>
          <w:szCs w:val="16"/>
          <w:lang w:eastAsia="ru-RU"/>
        </w:rPr>
        <w:t xml:space="preserve">       </w:t>
      </w:r>
      <w:r w:rsidR="00073CC3" w:rsidRPr="00C31150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</w:t>
      </w:r>
      <w:r w:rsidR="00073CC3">
        <w:rPr>
          <w:sz w:val="16"/>
          <w:szCs w:val="16"/>
          <w:lang w:eastAsia="ru-RU"/>
        </w:rPr>
        <w:t xml:space="preserve">            </w:t>
      </w:r>
      <w:r>
        <w:rPr>
          <w:sz w:val="16"/>
          <w:szCs w:val="16"/>
          <w:lang w:eastAsia="ru-RU"/>
        </w:rPr>
        <w:t xml:space="preserve">   </w:t>
      </w:r>
      <w:r w:rsidR="00073CC3" w:rsidRPr="00C31150">
        <w:rPr>
          <w:sz w:val="16"/>
          <w:szCs w:val="16"/>
          <w:lang w:eastAsia="ru-RU"/>
        </w:rPr>
        <w:t>(адрес организации</w:t>
      </w:r>
      <w:r w:rsidR="00073CC3" w:rsidRPr="00C31150">
        <w:rPr>
          <w:lang w:eastAsia="ru-RU"/>
        </w:rPr>
        <w:t>)</w:t>
      </w:r>
      <w:r w:rsidR="00073CC3" w:rsidRPr="00C54201">
        <w:rPr>
          <w:lang w:eastAsia="ru-RU"/>
        </w:rPr>
        <w:t xml:space="preserve">    </w:t>
      </w:r>
      <w:r w:rsidR="00073CC3">
        <w:rPr>
          <w:lang w:eastAsia="ru-RU"/>
        </w:rPr>
        <w:t xml:space="preserve"> </w:t>
      </w:r>
      <w:r w:rsidR="00073CC3" w:rsidRPr="00C54201">
        <w:rPr>
          <w:lang w:eastAsia="ru-RU"/>
        </w:rPr>
        <w:t xml:space="preserve">                                              </w:t>
      </w:r>
      <w:r w:rsidR="00073CC3">
        <w:rPr>
          <w:lang w:eastAsia="ru-RU"/>
        </w:rPr>
        <w:t xml:space="preserve">                                               </w:t>
      </w:r>
      <w:r>
        <w:rPr>
          <w:lang w:eastAsia="ru-RU"/>
        </w:rPr>
        <w:t xml:space="preserve">                                 </w:t>
      </w:r>
      <w:r w:rsidR="00073CC3">
        <w:rPr>
          <w:lang w:eastAsia="ru-RU"/>
        </w:rPr>
        <w:t xml:space="preserve">  </w:t>
      </w:r>
      <w:r w:rsidR="00073CC3" w:rsidRPr="00C31150">
        <w:rPr>
          <w:b/>
          <w:bCs/>
          <w:u w:val="single"/>
          <w:lang w:eastAsia="ru-RU"/>
        </w:rPr>
        <w:t>ежегодно</w:t>
      </w:r>
    </w:p>
    <w:p w:rsidR="00073CC3" w:rsidRPr="00C31150" w:rsidRDefault="00073CC3" w:rsidP="00073CC3">
      <w:pPr>
        <w:widowControl/>
        <w:autoSpaceDE/>
        <w:autoSpaceDN/>
        <w:ind w:right="291"/>
        <w:jc w:val="center"/>
        <w:rPr>
          <w:b/>
          <w:bCs/>
          <w:sz w:val="19"/>
          <w:szCs w:val="19"/>
          <w:u w:val="single"/>
          <w:lang w:eastAsia="ru-RU"/>
        </w:rPr>
      </w:pPr>
    </w:p>
    <w:p w:rsidR="00073CC3" w:rsidRPr="00C54201" w:rsidRDefault="00073CC3" w:rsidP="00073CC3">
      <w:pPr>
        <w:widowControl/>
        <w:autoSpaceDE/>
        <w:autoSpaceDN/>
        <w:jc w:val="center"/>
        <w:rPr>
          <w:b/>
          <w:bCs/>
          <w:lang w:eastAsia="ru-RU"/>
        </w:rPr>
      </w:pPr>
      <w:r w:rsidRPr="00C31150">
        <w:rPr>
          <w:b/>
          <w:bCs/>
          <w:sz w:val="20"/>
          <w:szCs w:val="20"/>
          <w:lang w:eastAsia="ru-RU"/>
        </w:rPr>
        <w:br/>
      </w:r>
      <w:r w:rsidRPr="00C31150">
        <w:rPr>
          <w:b/>
          <w:bCs/>
          <w:lang w:eastAsia="ru-RU"/>
        </w:rPr>
        <w:t xml:space="preserve">Стандарты раскрытия информации предоставляемая субъектами оптового и розничного рынков электрической энергии, утвержденными Постановлением Правительства Российской </w:t>
      </w:r>
      <w:r>
        <w:rPr>
          <w:b/>
          <w:bCs/>
          <w:lang w:eastAsia="ru-RU"/>
        </w:rPr>
        <w:t xml:space="preserve">Федерации </w:t>
      </w:r>
      <w:r w:rsidRPr="00C31150">
        <w:rPr>
          <w:b/>
          <w:bCs/>
          <w:lang w:eastAsia="ru-RU"/>
        </w:rPr>
        <w:t xml:space="preserve">от 21.01.2004 № 24 </w:t>
      </w:r>
    </w:p>
    <w:p w:rsidR="00073CC3" w:rsidRPr="00C54201" w:rsidRDefault="00073CC3" w:rsidP="00073CC3">
      <w:pPr>
        <w:widowControl/>
        <w:autoSpaceDE/>
        <w:autoSpaceDN/>
        <w:ind w:right="291"/>
        <w:jc w:val="center"/>
        <w:rPr>
          <w:b/>
          <w:bCs/>
          <w:lang w:eastAsia="ru-RU"/>
        </w:rPr>
      </w:pPr>
    </w:p>
    <w:p w:rsidR="00073CC3" w:rsidRPr="00C54201" w:rsidRDefault="00073CC3" w:rsidP="00073CC3">
      <w:pPr>
        <w:widowControl/>
        <w:autoSpaceDE/>
        <w:autoSpaceDN/>
        <w:jc w:val="center"/>
        <w:rPr>
          <w:b/>
          <w:bCs/>
          <w:lang w:eastAsia="ru-RU"/>
        </w:rPr>
      </w:pPr>
      <w:r w:rsidRPr="00C31150">
        <w:rPr>
          <w:b/>
          <w:bCs/>
          <w:lang w:eastAsia="ru-RU"/>
        </w:rPr>
        <w:t xml:space="preserve">Порядок выполнения технологических, технических и других мероприятий, связанных </w:t>
      </w:r>
      <w:proofErr w:type="gramStart"/>
      <w:r w:rsidRPr="00C31150">
        <w:rPr>
          <w:b/>
          <w:bCs/>
          <w:lang w:eastAsia="ru-RU"/>
        </w:rPr>
        <w:t>с  технологическими</w:t>
      </w:r>
      <w:proofErr w:type="gramEnd"/>
      <w:r w:rsidRPr="00C31150">
        <w:rPr>
          <w:b/>
          <w:bCs/>
          <w:lang w:eastAsia="ru-RU"/>
        </w:rPr>
        <w:t xml:space="preserve"> присоединениями к электрическим сетям,  включая перечень  мероприятий, необход</w:t>
      </w:r>
      <w:r w:rsidRPr="00C54201">
        <w:rPr>
          <w:b/>
          <w:bCs/>
          <w:lang w:eastAsia="ru-RU"/>
        </w:rPr>
        <w:t xml:space="preserve">имых для осуществления </w:t>
      </w:r>
      <w:r w:rsidRPr="00C31150">
        <w:rPr>
          <w:b/>
          <w:bCs/>
          <w:lang w:eastAsia="ru-RU"/>
        </w:rPr>
        <w:t>технологического присоед</w:t>
      </w:r>
      <w:r w:rsidRPr="00C54201">
        <w:rPr>
          <w:b/>
          <w:bCs/>
          <w:lang w:eastAsia="ru-RU"/>
        </w:rPr>
        <w:t xml:space="preserve">инения к электрическим сетям, и </w:t>
      </w:r>
      <w:r w:rsidRPr="00C31150">
        <w:rPr>
          <w:b/>
          <w:bCs/>
          <w:lang w:eastAsia="ru-RU"/>
        </w:rPr>
        <w:t>порядок выполнения этих мероприятий с указанием ссылок на нормативные правовые акты</w:t>
      </w:r>
    </w:p>
    <w:p w:rsidR="00073CC3" w:rsidRDefault="00073CC3" w:rsidP="00073CC3">
      <w:pPr>
        <w:widowControl/>
        <w:autoSpaceDE/>
        <w:autoSpaceDN/>
        <w:ind w:right="291"/>
        <w:jc w:val="center"/>
        <w:rPr>
          <w:rFonts w:ascii="Arial CYR" w:hAnsi="Arial CYR" w:cs="Arial CYR"/>
          <w:b/>
          <w:bCs/>
          <w:sz w:val="19"/>
          <w:szCs w:val="19"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216"/>
        <w:gridCol w:w="3216"/>
        <w:gridCol w:w="3217"/>
      </w:tblGrid>
      <w:tr w:rsidR="00073CC3" w:rsidRPr="00C54201" w:rsidTr="00FE11EF">
        <w:trPr>
          <w:jc w:val="center"/>
        </w:trPr>
        <w:tc>
          <w:tcPr>
            <w:tcW w:w="3216" w:type="dxa"/>
            <w:vMerge w:val="restart"/>
            <w:vAlign w:val="center"/>
          </w:tcPr>
          <w:p w:rsidR="00073CC3" w:rsidRPr="00C54201" w:rsidRDefault="00073CC3" w:rsidP="00FE11EF">
            <w:pPr>
              <w:widowControl/>
              <w:autoSpaceDE/>
              <w:autoSpaceDN/>
              <w:ind w:right="291"/>
              <w:jc w:val="center"/>
              <w:rPr>
                <w:bCs/>
                <w:lang w:eastAsia="ru-RU"/>
              </w:rPr>
            </w:pPr>
            <w:r w:rsidRPr="00C54201">
              <w:rPr>
                <w:bCs/>
                <w:lang w:eastAsia="ru-RU"/>
              </w:rPr>
              <w:t>Место опубликования</w:t>
            </w:r>
          </w:p>
        </w:tc>
        <w:tc>
          <w:tcPr>
            <w:tcW w:w="3216" w:type="dxa"/>
          </w:tcPr>
          <w:p w:rsidR="00073CC3" w:rsidRPr="00C54201" w:rsidRDefault="00073CC3" w:rsidP="00FE11EF">
            <w:pPr>
              <w:widowControl/>
              <w:autoSpaceDE/>
              <w:autoSpaceDN/>
              <w:ind w:right="291"/>
              <w:rPr>
                <w:bCs/>
                <w:lang w:eastAsia="ru-RU"/>
              </w:rPr>
            </w:pPr>
            <w:r w:rsidRPr="00C54201">
              <w:rPr>
                <w:bCs/>
                <w:lang w:eastAsia="ru-RU"/>
              </w:rPr>
              <w:t>Печатное издание</w:t>
            </w:r>
          </w:p>
        </w:tc>
        <w:tc>
          <w:tcPr>
            <w:tcW w:w="3217" w:type="dxa"/>
          </w:tcPr>
          <w:p w:rsidR="00073CC3" w:rsidRPr="00C54201" w:rsidRDefault="00073CC3" w:rsidP="00FE11EF">
            <w:pPr>
              <w:widowControl/>
              <w:autoSpaceDE/>
              <w:autoSpaceDN/>
              <w:ind w:right="291"/>
              <w:jc w:val="center"/>
              <w:rPr>
                <w:b/>
                <w:bCs/>
                <w:lang w:eastAsia="ru-RU"/>
              </w:rPr>
            </w:pPr>
          </w:p>
        </w:tc>
      </w:tr>
      <w:tr w:rsidR="00073CC3" w:rsidRPr="00C54201" w:rsidTr="00FE11EF">
        <w:trPr>
          <w:jc w:val="center"/>
        </w:trPr>
        <w:tc>
          <w:tcPr>
            <w:tcW w:w="3216" w:type="dxa"/>
            <w:vMerge/>
          </w:tcPr>
          <w:p w:rsidR="00073CC3" w:rsidRPr="00C54201" w:rsidRDefault="00073CC3" w:rsidP="00FE11EF">
            <w:pPr>
              <w:widowControl/>
              <w:autoSpaceDE/>
              <w:autoSpaceDN/>
              <w:ind w:right="291"/>
              <w:jc w:val="center"/>
              <w:rPr>
                <w:bCs/>
                <w:lang w:eastAsia="ru-RU"/>
              </w:rPr>
            </w:pPr>
          </w:p>
        </w:tc>
        <w:tc>
          <w:tcPr>
            <w:tcW w:w="3216" w:type="dxa"/>
          </w:tcPr>
          <w:p w:rsidR="00073CC3" w:rsidRPr="00C54201" w:rsidRDefault="00073CC3" w:rsidP="00FE11EF">
            <w:pPr>
              <w:widowControl/>
              <w:autoSpaceDE/>
              <w:autoSpaceDN/>
              <w:ind w:right="291"/>
              <w:rPr>
                <w:bCs/>
                <w:lang w:eastAsia="ru-RU"/>
              </w:rPr>
            </w:pPr>
            <w:r w:rsidRPr="00C54201">
              <w:rPr>
                <w:bCs/>
                <w:lang w:eastAsia="ru-RU"/>
              </w:rPr>
              <w:t>Наименование сайта/URL</w:t>
            </w:r>
          </w:p>
        </w:tc>
        <w:tc>
          <w:tcPr>
            <w:tcW w:w="3217" w:type="dxa"/>
          </w:tcPr>
          <w:p w:rsidR="00073CC3" w:rsidRPr="00C54201" w:rsidRDefault="00073CC3" w:rsidP="00FE11EF">
            <w:pPr>
              <w:widowControl/>
              <w:autoSpaceDE/>
              <w:autoSpaceDN/>
              <w:ind w:right="291"/>
              <w:jc w:val="center"/>
              <w:rPr>
                <w:bCs/>
                <w:lang w:eastAsia="ru-RU"/>
              </w:rPr>
            </w:pPr>
            <w:r w:rsidRPr="00C54201">
              <w:rPr>
                <w:bCs/>
                <w:lang w:eastAsia="ru-RU"/>
              </w:rPr>
              <w:t>http://gesk35.ru</w:t>
            </w:r>
          </w:p>
        </w:tc>
      </w:tr>
      <w:tr w:rsidR="00073CC3" w:rsidRPr="00C54201" w:rsidTr="00FE11EF">
        <w:trPr>
          <w:jc w:val="center"/>
        </w:trPr>
        <w:tc>
          <w:tcPr>
            <w:tcW w:w="6432" w:type="dxa"/>
            <w:gridSpan w:val="2"/>
          </w:tcPr>
          <w:p w:rsidR="00073CC3" w:rsidRPr="00C54201" w:rsidRDefault="00073CC3" w:rsidP="00FE11EF">
            <w:pPr>
              <w:widowControl/>
              <w:autoSpaceDE/>
              <w:autoSpaceDN/>
              <w:ind w:right="291"/>
              <w:jc w:val="center"/>
              <w:rPr>
                <w:bCs/>
                <w:lang w:eastAsia="ru-RU"/>
              </w:rPr>
            </w:pPr>
            <w:r w:rsidRPr="00C54201">
              <w:rPr>
                <w:bCs/>
                <w:lang w:eastAsia="ru-RU"/>
              </w:rPr>
              <w:t>Дата опубликования</w:t>
            </w:r>
          </w:p>
        </w:tc>
        <w:tc>
          <w:tcPr>
            <w:tcW w:w="3217" w:type="dxa"/>
          </w:tcPr>
          <w:p w:rsidR="00073CC3" w:rsidRPr="00C54201" w:rsidRDefault="00256DCB" w:rsidP="00FE11EF">
            <w:pPr>
              <w:widowControl/>
              <w:autoSpaceDE/>
              <w:autoSpaceDN/>
              <w:ind w:right="29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="00564712">
              <w:rPr>
                <w:bCs/>
                <w:lang w:val="en-US" w:eastAsia="ru-RU"/>
              </w:rPr>
              <w:t>4</w:t>
            </w:r>
            <w:r w:rsidR="00564712">
              <w:rPr>
                <w:bCs/>
                <w:lang w:eastAsia="ru-RU"/>
              </w:rPr>
              <w:t>.01.2025</w:t>
            </w:r>
            <w:r w:rsidR="00073CC3" w:rsidRPr="00C54201">
              <w:rPr>
                <w:bCs/>
                <w:lang w:eastAsia="ru-RU"/>
              </w:rPr>
              <w:t xml:space="preserve"> г</w:t>
            </w:r>
          </w:p>
        </w:tc>
      </w:tr>
      <w:tr w:rsidR="00073CC3" w:rsidRPr="00C54201" w:rsidTr="00FE11EF">
        <w:trPr>
          <w:jc w:val="center"/>
        </w:trPr>
        <w:tc>
          <w:tcPr>
            <w:tcW w:w="6432" w:type="dxa"/>
            <w:gridSpan w:val="2"/>
          </w:tcPr>
          <w:p w:rsidR="00073CC3" w:rsidRPr="00C54201" w:rsidRDefault="00073CC3" w:rsidP="00FE11EF">
            <w:pPr>
              <w:widowControl/>
              <w:autoSpaceDE/>
              <w:autoSpaceDN/>
              <w:ind w:right="291"/>
              <w:jc w:val="center"/>
              <w:rPr>
                <w:bCs/>
                <w:lang w:eastAsia="ru-RU"/>
              </w:rPr>
            </w:pPr>
            <w:r w:rsidRPr="00C54201">
              <w:rPr>
                <w:bCs/>
                <w:lang w:eastAsia="ru-RU"/>
              </w:rPr>
              <w:t>Отчетный период</w:t>
            </w:r>
          </w:p>
        </w:tc>
        <w:tc>
          <w:tcPr>
            <w:tcW w:w="3217" w:type="dxa"/>
          </w:tcPr>
          <w:p w:rsidR="00073CC3" w:rsidRPr="00C54201" w:rsidRDefault="00645A3B" w:rsidP="00FE11EF">
            <w:pPr>
              <w:widowControl/>
              <w:autoSpaceDE/>
              <w:autoSpaceDN/>
              <w:ind w:right="291"/>
              <w:jc w:val="center"/>
              <w:rPr>
                <w:bCs/>
                <w:lang w:eastAsia="ru-RU"/>
              </w:rPr>
            </w:pPr>
            <w:r>
              <w:rPr>
                <w:bCs/>
                <w:lang w:val="en-US" w:eastAsia="ru-RU"/>
              </w:rPr>
              <w:t>202</w:t>
            </w:r>
            <w:r w:rsidR="00564712">
              <w:rPr>
                <w:bCs/>
                <w:lang w:eastAsia="ru-RU"/>
              </w:rPr>
              <w:t>5</w:t>
            </w:r>
            <w:r w:rsidR="00073CC3" w:rsidRPr="00C54201">
              <w:rPr>
                <w:bCs/>
                <w:lang w:val="en-US" w:eastAsia="ru-RU"/>
              </w:rPr>
              <w:t xml:space="preserve"> </w:t>
            </w:r>
            <w:r w:rsidR="00073CC3" w:rsidRPr="00C54201">
              <w:rPr>
                <w:bCs/>
                <w:lang w:eastAsia="ru-RU"/>
              </w:rPr>
              <w:t>год</w:t>
            </w:r>
          </w:p>
        </w:tc>
      </w:tr>
    </w:tbl>
    <w:p w:rsidR="00073CC3" w:rsidRPr="00C54201" w:rsidRDefault="00073CC3" w:rsidP="00073CC3">
      <w:pPr>
        <w:widowControl/>
        <w:autoSpaceDE/>
        <w:autoSpaceDN/>
        <w:ind w:right="291"/>
        <w:jc w:val="center"/>
        <w:rPr>
          <w:lang w:eastAsia="ru-RU"/>
        </w:rPr>
      </w:pPr>
    </w:p>
    <w:p w:rsidR="00564712" w:rsidRPr="00564712" w:rsidRDefault="00564712" w:rsidP="00564712">
      <w:pPr>
        <w:jc w:val="center"/>
        <w:rPr>
          <w:b/>
          <w:sz w:val="24"/>
          <w:szCs w:val="24"/>
        </w:rPr>
      </w:pPr>
      <w:r w:rsidRPr="00564712">
        <w:rPr>
          <w:b/>
          <w:sz w:val="24"/>
          <w:szCs w:val="24"/>
        </w:rPr>
        <w:t>Мероприятия по технологическому присоединению включают в себя:</w:t>
      </w:r>
    </w:p>
    <w:p w:rsidR="00564712" w:rsidRPr="00564712" w:rsidRDefault="00564712" w:rsidP="00564712">
      <w:pPr>
        <w:rPr>
          <w:sz w:val="24"/>
          <w:szCs w:val="24"/>
        </w:rPr>
      </w:pPr>
    </w:p>
    <w:p w:rsidR="00564712" w:rsidRPr="00564712" w:rsidRDefault="00564712" w:rsidP="00564712">
      <w:pPr>
        <w:spacing w:after="120"/>
        <w:ind w:firstLine="709"/>
        <w:jc w:val="both"/>
        <w:rPr>
          <w:sz w:val="24"/>
          <w:szCs w:val="24"/>
        </w:rPr>
      </w:pPr>
      <w:r w:rsidRPr="00564712">
        <w:rPr>
          <w:sz w:val="24"/>
          <w:szCs w:val="24"/>
        </w:rPr>
        <w:t>- подготовку, выдачу сетевой организацией технических условий 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а в случае выдачи технических условий электростанцией - согласование их с системным оператором (субъектом оперативно-диспетчерского управления в технологически изолированных территориальных электроэнергетических системах) и со смежными сетевыми организациями.</w:t>
      </w:r>
    </w:p>
    <w:p w:rsidR="00564712" w:rsidRPr="00564712" w:rsidRDefault="00564712" w:rsidP="00564712">
      <w:pPr>
        <w:spacing w:after="120"/>
        <w:ind w:firstLine="709"/>
        <w:jc w:val="both"/>
        <w:rPr>
          <w:sz w:val="24"/>
          <w:szCs w:val="24"/>
        </w:rPr>
      </w:pPr>
      <w:r w:rsidRPr="00564712">
        <w:rPr>
          <w:sz w:val="24"/>
          <w:szCs w:val="24"/>
        </w:rPr>
        <w:t>- разработку сетевой организацией проектной документации согласно обязательствам, предусмотренным техническими условиями;</w:t>
      </w:r>
    </w:p>
    <w:p w:rsidR="00564712" w:rsidRPr="00564712" w:rsidRDefault="00564712" w:rsidP="00564712">
      <w:pPr>
        <w:spacing w:after="120"/>
        <w:ind w:firstLine="709"/>
        <w:jc w:val="both"/>
        <w:rPr>
          <w:sz w:val="24"/>
          <w:szCs w:val="24"/>
        </w:rPr>
      </w:pPr>
      <w:r w:rsidRPr="00564712">
        <w:rPr>
          <w:sz w:val="24"/>
          <w:szCs w:val="24"/>
        </w:rPr>
        <w:t>- разработку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 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564712" w:rsidRPr="00564712" w:rsidRDefault="00564712" w:rsidP="00564712">
      <w:pPr>
        <w:spacing w:after="120"/>
        <w:ind w:firstLine="709"/>
        <w:jc w:val="both"/>
        <w:rPr>
          <w:sz w:val="24"/>
          <w:szCs w:val="24"/>
        </w:rPr>
      </w:pPr>
      <w:r w:rsidRPr="00564712">
        <w:rPr>
          <w:sz w:val="24"/>
          <w:szCs w:val="24"/>
        </w:rPr>
        <w:t xml:space="preserve">- выполнение технических условий заявителем и сетевой организацией, включая осуществление сетевой организацией мероприятий по подключению </w:t>
      </w:r>
      <w:proofErr w:type="spellStart"/>
      <w:r w:rsidRPr="00564712">
        <w:rPr>
          <w:sz w:val="24"/>
          <w:szCs w:val="24"/>
        </w:rPr>
        <w:t>энергопринимающих</w:t>
      </w:r>
      <w:proofErr w:type="spellEnd"/>
      <w:r w:rsidRPr="00564712">
        <w:rPr>
          <w:sz w:val="24"/>
          <w:szCs w:val="24"/>
        </w:rPr>
        <w:t xml:space="preserve"> устройств под действие аппаратуры противоаварийной и режимной автоматики в соответствии с техническими условиями;</w:t>
      </w:r>
    </w:p>
    <w:p w:rsidR="00564712" w:rsidRPr="00564712" w:rsidRDefault="00564712" w:rsidP="00564712">
      <w:pPr>
        <w:spacing w:after="120"/>
        <w:ind w:firstLine="709"/>
        <w:jc w:val="both"/>
        <w:rPr>
          <w:sz w:val="24"/>
          <w:szCs w:val="24"/>
        </w:rPr>
      </w:pPr>
      <w:r w:rsidRPr="00564712">
        <w:rPr>
          <w:sz w:val="24"/>
          <w:szCs w:val="24"/>
        </w:rPr>
        <w:t>- проверку выполнения заявителем и сетевой организацией технических условий, а также допуск к эксплуатации установленного в процессе технологического присоединения прибора учета электрической энергии, включающий составление акта допуска прибора учета к эксплуатации, предусмотренном Основными положениями функционирования розничных рынков электрической энергии (Постановление Правительства РФ от 04.05.2012 №442).</w:t>
      </w:r>
    </w:p>
    <w:p w:rsidR="00564712" w:rsidRPr="00564712" w:rsidRDefault="00564712" w:rsidP="00564712">
      <w:pPr>
        <w:spacing w:after="120"/>
        <w:ind w:firstLine="709"/>
        <w:jc w:val="both"/>
        <w:rPr>
          <w:sz w:val="24"/>
          <w:szCs w:val="24"/>
        </w:rPr>
      </w:pPr>
      <w:r w:rsidRPr="00564712">
        <w:rPr>
          <w:sz w:val="24"/>
          <w:szCs w:val="24"/>
        </w:rPr>
        <w:t xml:space="preserve">- осмотр (обследование) присоединяемых </w:t>
      </w:r>
      <w:proofErr w:type="spellStart"/>
      <w:r w:rsidRPr="00564712">
        <w:rPr>
          <w:sz w:val="24"/>
          <w:szCs w:val="24"/>
        </w:rPr>
        <w:t>энергопринимающих</w:t>
      </w:r>
      <w:proofErr w:type="spellEnd"/>
      <w:r w:rsidRPr="00564712">
        <w:rPr>
          <w:sz w:val="24"/>
          <w:szCs w:val="24"/>
        </w:rPr>
        <w:t xml:space="preserve">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а также соответствующего субъекта оперативно-диспетчерского управления в случае, если технические условия подлежат согласованию с таким субъектом оперативно-диспетчерского управления, с выдачей заявит</w:t>
      </w:r>
      <w:r>
        <w:rPr>
          <w:sz w:val="24"/>
          <w:szCs w:val="24"/>
        </w:rPr>
        <w:t>елю акта осмотра (обследования)</w:t>
      </w:r>
      <w:r w:rsidRPr="00564712">
        <w:rPr>
          <w:sz w:val="24"/>
          <w:szCs w:val="24"/>
        </w:rPr>
        <w:t xml:space="preserve"> электроустановки (в соответствии с п. 18 </w:t>
      </w:r>
      <w:r w:rsidRPr="00564712">
        <w:rPr>
          <w:color w:val="3C3E40"/>
          <w:sz w:val="24"/>
          <w:szCs w:val="24"/>
        </w:rPr>
        <w:t>Правил ТП)</w:t>
      </w:r>
      <w:r w:rsidRPr="00564712">
        <w:rPr>
          <w:rStyle w:val="ac"/>
          <w:color w:val="3C3E40"/>
          <w:sz w:val="24"/>
          <w:szCs w:val="24"/>
        </w:rPr>
        <w:footnoteReference w:id="1"/>
      </w:r>
      <w:r w:rsidRPr="00564712">
        <w:rPr>
          <w:color w:val="3C3E40"/>
          <w:sz w:val="24"/>
          <w:szCs w:val="24"/>
        </w:rPr>
        <w:t>.</w:t>
      </w:r>
    </w:p>
    <w:p w:rsidR="00564712" w:rsidRPr="00564712" w:rsidRDefault="00564712" w:rsidP="00564712">
      <w:pPr>
        <w:spacing w:after="120"/>
        <w:ind w:firstLine="709"/>
        <w:jc w:val="both"/>
        <w:rPr>
          <w:sz w:val="24"/>
          <w:szCs w:val="24"/>
        </w:rPr>
      </w:pPr>
      <w:r w:rsidRPr="00564712">
        <w:rPr>
          <w:sz w:val="24"/>
          <w:szCs w:val="24"/>
        </w:rPr>
        <w:t xml:space="preserve">-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"включено"). При этом для допуска в эксплуатацию установленного в </w:t>
      </w:r>
      <w:r w:rsidRPr="00564712">
        <w:rPr>
          <w:sz w:val="24"/>
          <w:szCs w:val="24"/>
        </w:rPr>
        <w:lastRenderedPageBreak/>
        <w:t>процессе технологического присоединения прибора учета электрической энергии сетевая организация обязана обеспечить приглашение субъекта розничного рынка, указанного в заявке, с которым заявитель намеревается заключить договор энергоснабжения электрической энергии, либо субъекта розничного рынка, с которым заявителем заключен указанный договор, для участия в процедуре допуска в эксплуатацию установленного в процессе технологического присоединения прибора учета электрической энергии, а также иных субъектов розничных рынков, приглашение которых для допуска в эксплуатацию прибора учета является обязательным.</w:t>
      </w:r>
    </w:p>
    <w:p w:rsidR="00564712" w:rsidRPr="00564712" w:rsidRDefault="00564712" w:rsidP="00564712">
      <w:pPr>
        <w:ind w:firstLine="709"/>
        <w:jc w:val="both"/>
        <w:rPr>
          <w:sz w:val="24"/>
          <w:szCs w:val="24"/>
        </w:rPr>
      </w:pPr>
      <w:r w:rsidRPr="00564712">
        <w:rPr>
          <w:sz w:val="24"/>
          <w:szCs w:val="24"/>
        </w:rPr>
        <w:t>По окончании осуществления мероприятий по технологическому присоединению стороны составляют:</w:t>
      </w:r>
    </w:p>
    <w:p w:rsidR="00564712" w:rsidRPr="00564712" w:rsidRDefault="00564712" w:rsidP="00564712">
      <w:pPr>
        <w:ind w:firstLine="709"/>
        <w:jc w:val="both"/>
        <w:rPr>
          <w:sz w:val="24"/>
          <w:szCs w:val="24"/>
        </w:rPr>
      </w:pPr>
      <w:r w:rsidRPr="00564712">
        <w:rPr>
          <w:sz w:val="24"/>
          <w:szCs w:val="24"/>
        </w:rPr>
        <w:t>- акт о выполнении технических условий;</w:t>
      </w:r>
    </w:p>
    <w:p w:rsidR="0090312A" w:rsidRDefault="00564712" w:rsidP="0090312A">
      <w:pPr>
        <w:ind w:firstLine="709"/>
        <w:jc w:val="both"/>
        <w:rPr>
          <w:sz w:val="24"/>
          <w:szCs w:val="24"/>
        </w:rPr>
      </w:pPr>
      <w:r w:rsidRPr="00564712">
        <w:rPr>
          <w:sz w:val="24"/>
          <w:szCs w:val="24"/>
        </w:rPr>
        <w:t>- акт об осуществлении технологического присоединения;</w:t>
      </w:r>
    </w:p>
    <w:p w:rsidR="0090312A" w:rsidRPr="00564712" w:rsidRDefault="0090312A" w:rsidP="0090312A">
      <w:pPr>
        <w:ind w:firstLine="709"/>
        <w:jc w:val="both"/>
        <w:rPr>
          <w:sz w:val="24"/>
          <w:szCs w:val="24"/>
        </w:rPr>
      </w:pPr>
      <w:r>
        <w:t xml:space="preserve">- </w:t>
      </w:r>
      <w:r>
        <w:t>уведомление об обеспечении возможности присоединения к электрическим сетям</w:t>
      </w:r>
      <w:r>
        <w:rPr>
          <w:sz w:val="24"/>
          <w:szCs w:val="24"/>
        </w:rPr>
        <w:t>;</w:t>
      </w:r>
    </w:p>
    <w:p w:rsidR="00564712" w:rsidRPr="00564712" w:rsidRDefault="00564712" w:rsidP="00564712">
      <w:pPr>
        <w:ind w:firstLine="709"/>
        <w:jc w:val="both"/>
        <w:rPr>
          <w:sz w:val="24"/>
          <w:szCs w:val="24"/>
        </w:rPr>
      </w:pPr>
      <w:r w:rsidRPr="00564712">
        <w:rPr>
          <w:sz w:val="24"/>
          <w:szCs w:val="24"/>
        </w:rPr>
        <w:t>- акт согласования технологической и (или) аварийной брони в соответствии с Правил технологического присоединения (Постановление Правительства РФ от 28.12.2004 №861).</w:t>
      </w:r>
    </w:p>
    <w:p w:rsidR="00073CC3" w:rsidRDefault="00073CC3" w:rsidP="00073CC3">
      <w:pPr>
        <w:spacing w:line="226" w:lineRule="exact"/>
        <w:rPr>
          <w:sz w:val="20"/>
        </w:rPr>
      </w:pPr>
    </w:p>
    <w:p w:rsidR="00073CC3" w:rsidRPr="00073CC3" w:rsidRDefault="00073CC3" w:rsidP="00073CC3">
      <w:pPr>
        <w:rPr>
          <w:sz w:val="20"/>
        </w:rPr>
      </w:pPr>
    </w:p>
    <w:p w:rsidR="00073CC3" w:rsidRPr="00073CC3" w:rsidRDefault="00073CC3" w:rsidP="00073CC3">
      <w:pPr>
        <w:rPr>
          <w:sz w:val="20"/>
        </w:rPr>
      </w:pPr>
    </w:p>
    <w:p w:rsidR="00073CC3" w:rsidRPr="00073CC3" w:rsidRDefault="00073CC3" w:rsidP="00073CC3">
      <w:pPr>
        <w:rPr>
          <w:sz w:val="20"/>
        </w:rPr>
      </w:pPr>
    </w:p>
    <w:p w:rsidR="00073CC3" w:rsidRPr="00A83070" w:rsidRDefault="00A83070" w:rsidP="00A83070">
      <w:pPr>
        <w:spacing w:before="12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</w:t>
      </w:r>
      <w:r w:rsidR="00073CC3" w:rsidRPr="00073CC3">
        <w:rPr>
          <w:sz w:val="20"/>
          <w:szCs w:val="20"/>
          <w:lang w:eastAsia="ru-RU"/>
        </w:rPr>
        <w:t>Основание для размещения:</w:t>
      </w:r>
      <w:r w:rsidR="00073CC3" w:rsidRPr="00A83070">
        <w:rPr>
          <w:sz w:val="20"/>
          <w:szCs w:val="20"/>
        </w:rPr>
        <w:t xml:space="preserve"> </w:t>
      </w:r>
      <w:r w:rsidR="00073CC3" w:rsidRPr="00A83070">
        <w:rPr>
          <w:sz w:val="20"/>
          <w:szCs w:val="20"/>
          <w:lang w:eastAsia="ru-RU"/>
        </w:rPr>
        <w:t>Пост. Пр-ва от 21.01.2004 № 24, п. 19 и</w:t>
      </w:r>
    </w:p>
    <w:p w:rsidR="00A83070" w:rsidRPr="00A83070" w:rsidRDefault="00A83070" w:rsidP="00A83070">
      <w:pPr>
        <w:spacing w:before="12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</w:t>
      </w:r>
      <w:r w:rsidRPr="00A83070">
        <w:rPr>
          <w:sz w:val="20"/>
          <w:szCs w:val="20"/>
          <w:lang w:eastAsia="ru-RU"/>
        </w:rPr>
        <w:t>Статус информации:</w:t>
      </w:r>
      <w:r>
        <w:rPr>
          <w:sz w:val="20"/>
          <w:szCs w:val="20"/>
          <w:lang w:eastAsia="ru-RU"/>
        </w:rPr>
        <w:t xml:space="preserve"> </w:t>
      </w:r>
      <w:r w:rsidRPr="00A83070">
        <w:rPr>
          <w:sz w:val="20"/>
          <w:szCs w:val="20"/>
          <w:lang w:eastAsia="ru-RU"/>
        </w:rPr>
        <w:t>"фактическая"</w:t>
      </w:r>
    </w:p>
    <w:p w:rsidR="00A83070" w:rsidRPr="00A83070" w:rsidRDefault="00A83070" w:rsidP="00A83070">
      <w:pPr>
        <w:spacing w:before="120"/>
        <w:rPr>
          <w:rFonts w:ascii="Arial CYR" w:hAnsi="Arial CYR" w:cs="Arial CYR"/>
          <w:sz w:val="16"/>
          <w:szCs w:val="16"/>
          <w:lang w:eastAsia="ru-RU"/>
        </w:rPr>
      </w:pPr>
      <w:r>
        <w:rPr>
          <w:sz w:val="20"/>
          <w:szCs w:val="20"/>
          <w:lang w:eastAsia="ru-RU"/>
        </w:rPr>
        <w:t xml:space="preserve">                       </w:t>
      </w:r>
      <w:bookmarkStart w:id="0" w:name="_GoBack"/>
      <w:bookmarkEnd w:id="0"/>
      <w:r>
        <w:rPr>
          <w:sz w:val="20"/>
          <w:szCs w:val="20"/>
          <w:lang w:eastAsia="ru-RU"/>
        </w:rPr>
        <w:t xml:space="preserve">                                                 </w:t>
      </w:r>
      <w:r w:rsidRPr="00A83070">
        <w:rPr>
          <w:sz w:val="20"/>
          <w:szCs w:val="20"/>
          <w:lang w:eastAsia="ru-RU"/>
        </w:rPr>
        <w:t>Срок хранения</w:t>
      </w:r>
      <w:r w:rsidRPr="00A83070">
        <w:rPr>
          <w:rFonts w:ascii="Arial CYR" w:hAnsi="Arial CYR" w:cs="Arial CYR"/>
          <w:sz w:val="16"/>
          <w:szCs w:val="16"/>
          <w:lang w:eastAsia="ru-RU"/>
        </w:rPr>
        <w:t xml:space="preserve"> в архиве организации:</w:t>
      </w:r>
      <w:r w:rsidRPr="00A83070">
        <w:rPr>
          <w:rFonts w:ascii="Arial CYR" w:hAnsi="Arial CYR" w:cs="Arial CYR"/>
          <w:sz w:val="16"/>
          <w:szCs w:val="16"/>
        </w:rPr>
        <w:t xml:space="preserve"> </w:t>
      </w:r>
      <w:r w:rsidRPr="00A83070">
        <w:rPr>
          <w:rFonts w:ascii="Arial CYR" w:hAnsi="Arial CYR" w:cs="Arial CYR"/>
          <w:sz w:val="16"/>
          <w:szCs w:val="16"/>
          <w:lang w:eastAsia="ru-RU"/>
        </w:rPr>
        <w:t>3 года (Приказ ФАС от 22.01.2010 № 27)</w:t>
      </w:r>
    </w:p>
    <w:p w:rsidR="00E51774" w:rsidRDefault="00E51774" w:rsidP="00073CC3"/>
    <w:sectPr w:rsidR="00E51774" w:rsidSect="00564712">
      <w:type w:val="continuous"/>
      <w:pgSz w:w="11910" w:h="16840"/>
      <w:pgMar w:top="540" w:right="4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712" w:rsidRDefault="00564712" w:rsidP="00564712">
      <w:r>
        <w:separator/>
      </w:r>
    </w:p>
  </w:endnote>
  <w:endnote w:type="continuationSeparator" w:id="0">
    <w:p w:rsidR="00564712" w:rsidRDefault="00564712" w:rsidP="0056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712" w:rsidRDefault="00564712" w:rsidP="00564712">
      <w:r>
        <w:separator/>
      </w:r>
    </w:p>
  </w:footnote>
  <w:footnote w:type="continuationSeparator" w:id="0">
    <w:p w:rsidR="00564712" w:rsidRDefault="00564712" w:rsidP="00564712">
      <w:r>
        <w:continuationSeparator/>
      </w:r>
    </w:p>
  </w:footnote>
  <w:footnote w:id="1">
    <w:p w:rsidR="00564712" w:rsidRDefault="00564712" w:rsidP="00564712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</w:t>
      </w:r>
      <w:r w:rsidRPr="00194A60">
        <w:rPr>
          <w:rFonts w:ascii="Times New Roman" w:hAnsi="Times New Roman" w:cs="Times New Roman"/>
        </w:rPr>
        <w:t>равила</w:t>
      </w:r>
      <w:r>
        <w:rPr>
          <w:rFonts w:ascii="Times New Roman" w:hAnsi="Times New Roman" w:cs="Times New Roman"/>
        </w:rPr>
        <w:t xml:space="preserve"> </w:t>
      </w:r>
      <w:r w:rsidRPr="00194A60">
        <w:rPr>
          <w:rFonts w:ascii="Times New Roman" w:hAnsi="Times New Roman" w:cs="Times New Roman"/>
        </w:rPr>
        <w:t xml:space="preserve">технологического присоединения </w:t>
      </w:r>
      <w:proofErr w:type="spellStart"/>
      <w:r w:rsidRPr="00194A60">
        <w:rPr>
          <w:rFonts w:ascii="Times New Roman" w:hAnsi="Times New Roman" w:cs="Times New Roman"/>
        </w:rPr>
        <w:t>энергопринимающих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94A60">
        <w:rPr>
          <w:rFonts w:ascii="Times New Roman" w:hAnsi="Times New Roman" w:cs="Times New Roman"/>
        </w:rPr>
        <w:t>устройств потребителей электрической энергии, объектов по</w:t>
      </w:r>
      <w:r>
        <w:rPr>
          <w:rFonts w:ascii="Times New Roman" w:hAnsi="Times New Roman" w:cs="Times New Roman"/>
        </w:rPr>
        <w:t xml:space="preserve"> </w:t>
      </w:r>
      <w:r w:rsidRPr="00194A60">
        <w:rPr>
          <w:rFonts w:ascii="Times New Roman" w:hAnsi="Times New Roman" w:cs="Times New Roman"/>
        </w:rPr>
        <w:t>производству электрической энергии, а также объектов</w:t>
      </w:r>
      <w:r>
        <w:rPr>
          <w:rFonts w:ascii="Times New Roman" w:hAnsi="Times New Roman" w:cs="Times New Roman"/>
        </w:rPr>
        <w:t xml:space="preserve"> </w:t>
      </w:r>
      <w:r w:rsidRPr="00194A60">
        <w:rPr>
          <w:rFonts w:ascii="Times New Roman" w:hAnsi="Times New Roman" w:cs="Times New Roman"/>
        </w:rPr>
        <w:t>электросетевого хозяйства, принадлежащих сетевым</w:t>
      </w:r>
      <w:r>
        <w:rPr>
          <w:rFonts w:ascii="Times New Roman" w:hAnsi="Times New Roman" w:cs="Times New Roman"/>
        </w:rPr>
        <w:t xml:space="preserve"> </w:t>
      </w:r>
      <w:r w:rsidRPr="00194A60">
        <w:rPr>
          <w:rFonts w:ascii="Times New Roman" w:hAnsi="Times New Roman" w:cs="Times New Roman"/>
        </w:rPr>
        <w:t>организациям и иным лицам, к электрическим сетям</w:t>
      </w:r>
      <w:r>
        <w:rPr>
          <w:rFonts w:ascii="Times New Roman" w:hAnsi="Times New Roman" w:cs="Times New Roman"/>
        </w:rPr>
        <w:t>, утвержденные Постановлением Правительства Российской Федерации от 27 декабря 2004 г. № 861.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7518"/>
    <w:multiLevelType w:val="hybridMultilevel"/>
    <w:tmpl w:val="C216441E"/>
    <w:lvl w:ilvl="0" w:tplc="8A80CC48">
      <w:numFmt w:val="bullet"/>
      <w:lvlText w:val="-"/>
      <w:lvlJc w:val="left"/>
      <w:pPr>
        <w:ind w:left="141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72E64B2">
      <w:numFmt w:val="bullet"/>
      <w:lvlText w:val="•"/>
      <w:lvlJc w:val="left"/>
      <w:pPr>
        <w:ind w:left="451" w:hanging="120"/>
      </w:pPr>
      <w:rPr>
        <w:rFonts w:hint="default"/>
        <w:lang w:val="ru-RU" w:eastAsia="en-US" w:bidi="ar-SA"/>
      </w:rPr>
    </w:lvl>
    <w:lvl w:ilvl="2" w:tplc="6B2CF0C6"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 w:tplc="710C4550">
      <w:numFmt w:val="bullet"/>
      <w:lvlText w:val="•"/>
      <w:lvlJc w:val="left"/>
      <w:pPr>
        <w:ind w:left="1075" w:hanging="120"/>
      </w:pPr>
      <w:rPr>
        <w:rFonts w:hint="default"/>
        <w:lang w:val="ru-RU" w:eastAsia="en-US" w:bidi="ar-SA"/>
      </w:rPr>
    </w:lvl>
    <w:lvl w:ilvl="4" w:tplc="7B8066A0">
      <w:numFmt w:val="bullet"/>
      <w:lvlText w:val="•"/>
      <w:lvlJc w:val="left"/>
      <w:pPr>
        <w:ind w:left="1386" w:hanging="120"/>
      </w:pPr>
      <w:rPr>
        <w:rFonts w:hint="default"/>
        <w:lang w:val="ru-RU" w:eastAsia="en-US" w:bidi="ar-SA"/>
      </w:rPr>
    </w:lvl>
    <w:lvl w:ilvl="5" w:tplc="96165EC4">
      <w:numFmt w:val="bullet"/>
      <w:lvlText w:val="•"/>
      <w:lvlJc w:val="left"/>
      <w:pPr>
        <w:ind w:left="1698" w:hanging="120"/>
      </w:pPr>
      <w:rPr>
        <w:rFonts w:hint="default"/>
        <w:lang w:val="ru-RU" w:eastAsia="en-US" w:bidi="ar-SA"/>
      </w:rPr>
    </w:lvl>
    <w:lvl w:ilvl="6" w:tplc="202C7FEC">
      <w:numFmt w:val="bullet"/>
      <w:lvlText w:val="•"/>
      <w:lvlJc w:val="left"/>
      <w:pPr>
        <w:ind w:left="2010" w:hanging="120"/>
      </w:pPr>
      <w:rPr>
        <w:rFonts w:hint="default"/>
        <w:lang w:val="ru-RU" w:eastAsia="en-US" w:bidi="ar-SA"/>
      </w:rPr>
    </w:lvl>
    <w:lvl w:ilvl="7" w:tplc="0466269C">
      <w:numFmt w:val="bullet"/>
      <w:lvlText w:val="•"/>
      <w:lvlJc w:val="left"/>
      <w:pPr>
        <w:ind w:left="2321" w:hanging="120"/>
      </w:pPr>
      <w:rPr>
        <w:rFonts w:hint="default"/>
        <w:lang w:val="ru-RU" w:eastAsia="en-US" w:bidi="ar-SA"/>
      </w:rPr>
    </w:lvl>
    <w:lvl w:ilvl="8" w:tplc="968C026E">
      <w:numFmt w:val="bullet"/>
      <w:lvlText w:val="•"/>
      <w:lvlJc w:val="left"/>
      <w:pPr>
        <w:ind w:left="2633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3B2A0438"/>
    <w:multiLevelType w:val="hybridMultilevel"/>
    <w:tmpl w:val="EA32147E"/>
    <w:lvl w:ilvl="0" w:tplc="6256D8CC">
      <w:numFmt w:val="bullet"/>
      <w:lvlText w:val="-"/>
      <w:lvlJc w:val="left"/>
      <w:pPr>
        <w:ind w:left="260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4C4806">
      <w:numFmt w:val="bullet"/>
      <w:lvlText w:val="•"/>
      <w:lvlJc w:val="left"/>
      <w:pPr>
        <w:ind w:left="1226" w:hanging="198"/>
      </w:pPr>
      <w:rPr>
        <w:rFonts w:hint="default"/>
        <w:lang w:val="ru-RU" w:eastAsia="en-US" w:bidi="ar-SA"/>
      </w:rPr>
    </w:lvl>
    <w:lvl w:ilvl="2" w:tplc="5A107978">
      <w:numFmt w:val="bullet"/>
      <w:lvlText w:val="•"/>
      <w:lvlJc w:val="left"/>
      <w:pPr>
        <w:ind w:left="2192" w:hanging="198"/>
      </w:pPr>
      <w:rPr>
        <w:rFonts w:hint="default"/>
        <w:lang w:val="ru-RU" w:eastAsia="en-US" w:bidi="ar-SA"/>
      </w:rPr>
    </w:lvl>
    <w:lvl w:ilvl="3" w:tplc="8174BA12">
      <w:numFmt w:val="bullet"/>
      <w:lvlText w:val="•"/>
      <w:lvlJc w:val="left"/>
      <w:pPr>
        <w:ind w:left="3159" w:hanging="198"/>
      </w:pPr>
      <w:rPr>
        <w:rFonts w:hint="default"/>
        <w:lang w:val="ru-RU" w:eastAsia="en-US" w:bidi="ar-SA"/>
      </w:rPr>
    </w:lvl>
    <w:lvl w:ilvl="4" w:tplc="F1B08FAC">
      <w:numFmt w:val="bullet"/>
      <w:lvlText w:val="•"/>
      <w:lvlJc w:val="left"/>
      <w:pPr>
        <w:ind w:left="4125" w:hanging="198"/>
      </w:pPr>
      <w:rPr>
        <w:rFonts w:hint="default"/>
        <w:lang w:val="ru-RU" w:eastAsia="en-US" w:bidi="ar-SA"/>
      </w:rPr>
    </w:lvl>
    <w:lvl w:ilvl="5" w:tplc="1BE22862">
      <w:numFmt w:val="bullet"/>
      <w:lvlText w:val="•"/>
      <w:lvlJc w:val="left"/>
      <w:pPr>
        <w:ind w:left="5092" w:hanging="198"/>
      </w:pPr>
      <w:rPr>
        <w:rFonts w:hint="default"/>
        <w:lang w:val="ru-RU" w:eastAsia="en-US" w:bidi="ar-SA"/>
      </w:rPr>
    </w:lvl>
    <w:lvl w:ilvl="6" w:tplc="8D66E520">
      <w:numFmt w:val="bullet"/>
      <w:lvlText w:val="•"/>
      <w:lvlJc w:val="left"/>
      <w:pPr>
        <w:ind w:left="6058" w:hanging="198"/>
      </w:pPr>
      <w:rPr>
        <w:rFonts w:hint="default"/>
        <w:lang w:val="ru-RU" w:eastAsia="en-US" w:bidi="ar-SA"/>
      </w:rPr>
    </w:lvl>
    <w:lvl w:ilvl="7" w:tplc="B8120662">
      <w:numFmt w:val="bullet"/>
      <w:lvlText w:val="•"/>
      <w:lvlJc w:val="left"/>
      <w:pPr>
        <w:ind w:left="7024" w:hanging="198"/>
      </w:pPr>
      <w:rPr>
        <w:rFonts w:hint="default"/>
        <w:lang w:val="ru-RU" w:eastAsia="en-US" w:bidi="ar-SA"/>
      </w:rPr>
    </w:lvl>
    <w:lvl w:ilvl="8" w:tplc="60E4740A">
      <w:numFmt w:val="bullet"/>
      <w:lvlText w:val="•"/>
      <w:lvlJc w:val="left"/>
      <w:pPr>
        <w:ind w:left="7991" w:hanging="1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0C"/>
    <w:rsid w:val="00073CC3"/>
    <w:rsid w:val="000E40C5"/>
    <w:rsid w:val="00256DCB"/>
    <w:rsid w:val="00410104"/>
    <w:rsid w:val="00475351"/>
    <w:rsid w:val="004A6F14"/>
    <w:rsid w:val="00543881"/>
    <w:rsid w:val="00564712"/>
    <w:rsid w:val="0064250C"/>
    <w:rsid w:val="00645A3B"/>
    <w:rsid w:val="00692939"/>
    <w:rsid w:val="007646E9"/>
    <w:rsid w:val="0090312A"/>
    <w:rsid w:val="00A83070"/>
    <w:rsid w:val="00CB4FE6"/>
    <w:rsid w:val="00CE1754"/>
    <w:rsid w:val="00E44DED"/>
    <w:rsid w:val="00E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CBD4"/>
  <w15:docId w15:val="{9407967D-6656-46B7-AAF3-FB1F947F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5"/>
      <w:ind w:left="164" w:firstLine="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6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69"/>
      <w:ind w:left="947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spacing w:before="139"/>
      <w:ind w:left="260" w:right="25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073CC3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73CC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Заголовок Знак"/>
    <w:basedOn w:val="a0"/>
    <w:link w:val="a5"/>
    <w:uiPriority w:val="1"/>
    <w:rsid w:val="00073CC3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styleId="a8">
    <w:name w:val="Table Grid"/>
    <w:basedOn w:val="a1"/>
    <w:uiPriority w:val="39"/>
    <w:rsid w:val="0007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E44DED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56471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64712"/>
    <w:rPr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564712"/>
    <w:rPr>
      <w:vertAlign w:val="superscript"/>
    </w:rPr>
  </w:style>
  <w:style w:type="paragraph" w:customStyle="1" w:styleId="headertext">
    <w:name w:val="headertext"/>
    <w:basedOn w:val="a"/>
    <w:rsid w:val="009031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9031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Соловьёв Андрей Викторович</cp:lastModifiedBy>
  <cp:revision>3</cp:revision>
  <dcterms:created xsi:type="dcterms:W3CDTF">2025-01-13T12:26:00Z</dcterms:created>
  <dcterms:modified xsi:type="dcterms:W3CDTF">2025-01-14T06:01:00Z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